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FB00B3"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 xml:space="preserve">Υλοποίησης Προϋπολογισμού </w:t>
      </w:r>
      <w:r w:rsidR="0087799C">
        <w:rPr>
          <w:rFonts w:ascii="Arial" w:hAnsi="Arial" w:cs="Arial"/>
          <w:b/>
          <w:sz w:val="24"/>
          <w:lang w:val="el-GR"/>
        </w:rPr>
        <w:t>20</w:t>
      </w:r>
      <w:r w:rsidR="00FB00B3">
        <w:rPr>
          <w:rFonts w:ascii="Arial" w:hAnsi="Arial" w:cs="Arial"/>
          <w:b/>
          <w:sz w:val="24"/>
          <w:lang w:val="el-GR"/>
        </w:rPr>
        <w:t>2</w:t>
      </w:r>
      <w:r w:rsidR="00FB00B3" w:rsidRPr="00FB00B3">
        <w:rPr>
          <w:rFonts w:ascii="Arial" w:hAnsi="Arial" w:cs="Arial"/>
          <w:b/>
          <w:sz w:val="24"/>
          <w:lang w:val="el-GR"/>
        </w:rPr>
        <w:t>1</w:t>
      </w:r>
    </w:p>
    <w:p w:rsidR="006F1711" w:rsidRDefault="006F1711" w:rsidP="00364F19">
      <w:pPr>
        <w:spacing w:after="0"/>
        <w:jc w:val="both"/>
        <w:rPr>
          <w:rFonts w:ascii="Arial" w:hAnsi="Arial" w:cs="Arial"/>
          <w:b/>
          <w:lang w:val="el-GR"/>
        </w:rPr>
      </w:pPr>
    </w:p>
    <w:p w:rsidR="00B66B64" w:rsidRPr="00A65A01" w:rsidRDefault="00B3171E" w:rsidP="00364F19">
      <w:pPr>
        <w:spacing w:after="0"/>
        <w:jc w:val="both"/>
        <w:rPr>
          <w:rFonts w:ascii="Arial" w:hAnsi="Arial" w:cs="Arial"/>
          <w:b/>
          <w:sz w:val="24"/>
          <w:lang w:val="el-GR"/>
        </w:rPr>
      </w:pPr>
      <w:r>
        <w:rPr>
          <w:rFonts w:ascii="Arial" w:hAnsi="Arial" w:cs="Arial"/>
          <w:b/>
          <w:sz w:val="24"/>
          <w:lang w:val="el-GR"/>
        </w:rPr>
        <w:t xml:space="preserve">Οδηγίες προς </w:t>
      </w:r>
      <w:r w:rsidR="00A65A01">
        <w:rPr>
          <w:rFonts w:ascii="Arial" w:hAnsi="Arial" w:cs="Arial"/>
          <w:b/>
          <w:sz w:val="24"/>
          <w:lang w:val="el-GR"/>
        </w:rPr>
        <w:t>Οντότητες Γενικής Κυβέρνησης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275658" w:rsidRPr="0088673C" w:rsidRDefault="00527894" w:rsidP="00275658">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proofErr w:type="spellStart"/>
        <w:r w:rsidRPr="00E57E8D">
          <w:rPr>
            <w:rStyle w:val="Hyperlink"/>
            <w:rFonts w:ascii="Arial" w:hAnsi="Arial" w:cs="Arial"/>
            <w:lang w:val="en-US"/>
          </w:rPr>
          <w:t>gov</w:t>
        </w:r>
        <w:proofErr w:type="spellEnd"/>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 </w:t>
      </w:r>
      <w:r w:rsidR="00500360">
        <w:rPr>
          <w:rFonts w:ascii="Arial" w:hAnsi="Arial" w:cs="Arial"/>
          <w:lang w:val="el-GR"/>
        </w:rPr>
        <w:t xml:space="preserve">             Τομείς -</w:t>
      </w:r>
      <w:r w:rsidR="00275658">
        <w:rPr>
          <w:rFonts w:ascii="Arial" w:hAnsi="Arial" w:cs="Arial"/>
          <w:lang w:val="el-GR"/>
        </w:rPr>
        <w:t xml:space="preserve">Λογιστικές και </w:t>
      </w:r>
      <w:r w:rsidR="00DA729A">
        <w:rPr>
          <w:rFonts w:ascii="Arial" w:hAnsi="Arial" w:cs="Arial"/>
          <w:lang w:val="el-GR"/>
        </w:rPr>
        <w:t>Μισθολογικές</w:t>
      </w:r>
      <w:r w:rsidR="00275658">
        <w:rPr>
          <w:rFonts w:ascii="Arial" w:hAnsi="Arial" w:cs="Arial"/>
          <w:lang w:val="el-GR"/>
        </w:rPr>
        <w:t xml:space="preserve"> Υπηρεσίες στον σύνδεσμο οδηγίες προς </w:t>
      </w:r>
      <w:r w:rsidR="00275658">
        <w:rPr>
          <w:rFonts w:ascii="Arial" w:hAnsi="Arial" w:cs="Arial"/>
          <w:b/>
          <w:i/>
          <w:lang w:val="el-GR"/>
        </w:rPr>
        <w:t>Γενική Κυβέρνηση</w:t>
      </w:r>
      <w:r w:rsidR="00275658" w:rsidRPr="00527894">
        <w:rPr>
          <w:rFonts w:ascii="Arial" w:hAnsi="Arial" w:cs="Arial"/>
          <w:b/>
          <w:i/>
          <w:lang w:val="el-GR"/>
        </w:rPr>
        <w:t>.</w:t>
      </w:r>
    </w:p>
    <w:p w:rsidR="00527894" w:rsidRPr="00527894" w:rsidRDefault="00527894"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 xml:space="preserve">Όλα τα στοιχεία που ζητούνται στους πίνακες Β1 - Β5 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στη βάση </w:t>
      </w:r>
      <w:r>
        <w:rPr>
          <w:rFonts w:ascii="Arial" w:hAnsi="Arial" w:cs="Arial"/>
          <w:lang w:val="el-GR"/>
        </w:rPr>
        <w:t xml:space="preserve">δεδουλευμένων εσόδων και εξόδων </w:t>
      </w:r>
      <w:r w:rsidRPr="00CB0EF9">
        <w:rPr>
          <w:rFonts w:ascii="Arial" w:hAnsi="Arial" w:cs="Arial"/>
          <w:lang w:val="el-GR"/>
        </w:rPr>
        <w:t>(</w:t>
      </w:r>
      <w:r w:rsidRPr="00CB0EF9">
        <w:rPr>
          <w:rFonts w:ascii="Arial" w:hAnsi="Arial" w:cs="Arial"/>
        </w:rPr>
        <w:t>accruals</w:t>
      </w:r>
      <w:r w:rsidRPr="00CB0EF9">
        <w:rPr>
          <w:rFonts w:ascii="Arial" w:hAnsi="Arial" w:cs="Arial"/>
          <w:lang w:val="el-GR"/>
        </w:rPr>
        <w:t xml:space="preserve"> </w:t>
      </w:r>
      <w:r w:rsidRPr="00CB0EF9">
        <w:rPr>
          <w:rFonts w:ascii="Arial" w:hAnsi="Arial" w:cs="Arial"/>
        </w:rPr>
        <w:t>basis</w:t>
      </w:r>
      <w:r w:rsidRPr="00CB0EF9">
        <w:rPr>
          <w:rFonts w:ascii="Arial" w:hAnsi="Arial" w:cs="Arial"/>
          <w:lang w:val="el-GR"/>
        </w:rPr>
        <w:t>)</w:t>
      </w:r>
      <w:r>
        <w:rPr>
          <w:rFonts w:ascii="Arial" w:hAnsi="Arial" w:cs="Arial"/>
          <w:lang w:val="el-GR"/>
        </w:rPr>
        <w:t xml:space="preserve"> και </w:t>
      </w:r>
      <w:r w:rsidRPr="00B66B64">
        <w:rPr>
          <w:rFonts w:ascii="Arial" w:hAnsi="Arial" w:cs="Arial"/>
          <w:b/>
          <w:lang w:val="el-GR"/>
        </w:rPr>
        <w:t>όχι</w:t>
      </w:r>
      <w:r>
        <w:rPr>
          <w:rFonts w:ascii="Arial" w:hAnsi="Arial" w:cs="Arial"/>
          <w:lang w:val="el-GR"/>
        </w:rPr>
        <w:t xml:space="preserve"> 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9A2748">
        <w:rPr>
          <w:rFonts w:ascii="Arial" w:hAnsi="Arial" w:cs="Arial"/>
          <w:lang w:val="el-GR"/>
        </w:rPr>
        <w:t>,</w:t>
      </w:r>
      <w:r w:rsidR="00DA5BBF" w:rsidRPr="00DA5BBF">
        <w:rPr>
          <w:rFonts w:ascii="Arial" w:hAnsi="Arial" w:cs="Arial"/>
          <w:lang w:val="el-GR"/>
        </w:rPr>
        <w:t xml:space="preserve"> </w:t>
      </w:r>
      <w:r w:rsidR="00DA5BBF">
        <w:rPr>
          <w:rFonts w:ascii="Arial" w:hAnsi="Arial" w:cs="Arial"/>
          <w:lang w:val="el-GR"/>
        </w:rPr>
        <w:t>εκτός από κάποιες εξαιρέσεις που αναφέρονται πιο κάτω</w:t>
      </w:r>
      <w:r>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B3171E">
        <w:rPr>
          <w:rFonts w:ascii="Arial" w:hAnsi="Arial" w:cs="Arial"/>
          <w:lang w:val="el-GR"/>
        </w:rPr>
        <w:t>ζητούνται με βάση το Άρθρο 100</w:t>
      </w:r>
      <w:r w:rsidR="000246E3">
        <w:rPr>
          <w:rFonts w:ascii="Arial" w:hAnsi="Arial" w:cs="Arial"/>
          <w:lang w:val="el-GR"/>
        </w:rPr>
        <w:t xml:space="preserve"> (1) του Περί της Δημοσιονομικής Ευθύνης και του Δημοσιονομικού Πλαισίου Νόμου (Ν.20(Ι)/2014), σύμφωνα με</w:t>
      </w:r>
      <w:r w:rsidR="00B3171E">
        <w:rPr>
          <w:rFonts w:ascii="Arial" w:hAnsi="Arial" w:cs="Arial"/>
          <w:lang w:val="el-GR"/>
        </w:rPr>
        <w:t xml:space="preserve"> το οποίο κάθε Οργανισμός</w:t>
      </w:r>
      <w:r w:rsidR="000246E3">
        <w:rPr>
          <w:rFonts w:ascii="Arial" w:hAnsi="Arial" w:cs="Arial"/>
          <w:lang w:val="el-GR"/>
        </w:rPr>
        <w:t xml:space="preserve"> υποβάλλει στον Υπουργό Οικονομικών και στον </w:t>
      </w:r>
      <w:r w:rsidR="00B3171E">
        <w:rPr>
          <w:rFonts w:ascii="Arial" w:hAnsi="Arial" w:cs="Arial"/>
          <w:lang w:val="el-GR"/>
        </w:rPr>
        <w:t xml:space="preserve">αντίστοιχο αρμόδιο Υπουργό </w:t>
      </w:r>
      <w:r w:rsidR="000246E3">
        <w:rPr>
          <w:rFonts w:ascii="Arial" w:hAnsi="Arial" w:cs="Arial"/>
          <w:lang w:val="el-GR"/>
        </w:rPr>
        <w:t xml:space="preserve">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3171E">
        <w:rPr>
          <w:rFonts w:ascii="Arial" w:hAnsi="Arial" w:cs="Arial"/>
          <w:lang w:val="el-GR"/>
        </w:rPr>
        <w:t xml:space="preserve"> όνομα του Οργανισμού</w:t>
      </w:r>
      <w:r>
        <w:rPr>
          <w:rFonts w:ascii="Arial" w:hAnsi="Arial" w:cs="Arial"/>
          <w:lang w:val="el-GR"/>
        </w:rPr>
        <w:t xml:space="preserve">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527894" w:rsidRPr="00527894"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 xml:space="preserve">Προβλέψεις κατά τρίμηνο </w:t>
      </w:r>
      <w:r w:rsidR="00C06071">
        <w:rPr>
          <w:rFonts w:ascii="Arial" w:hAnsi="Arial" w:cs="Arial"/>
          <w:i/>
          <w:lang w:val="el-GR"/>
        </w:rPr>
        <w:t>20</w:t>
      </w:r>
      <w:r w:rsidR="00500360">
        <w:rPr>
          <w:rFonts w:ascii="Arial" w:hAnsi="Arial" w:cs="Arial"/>
          <w:i/>
          <w:lang w:val="el-GR"/>
        </w:rPr>
        <w:t>2</w:t>
      </w:r>
      <w:r w:rsidR="00FB00B3" w:rsidRPr="00FB00B3">
        <w:rPr>
          <w:rFonts w:ascii="Arial" w:hAnsi="Arial" w:cs="Arial"/>
          <w:i/>
          <w:lang w:val="el-GR"/>
        </w:rPr>
        <w:t>1</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49323D" w:rsidRDefault="0049323D" w:rsidP="00364F19">
      <w:pPr>
        <w:spacing w:after="0"/>
        <w:jc w:val="both"/>
        <w:rPr>
          <w:rFonts w:ascii="Arial" w:hAnsi="Arial" w:cs="Arial"/>
          <w:lang w:val="el-GR"/>
        </w:rPr>
      </w:pPr>
    </w:p>
    <w:p w:rsidR="005C767B"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B66B64">
        <w:rPr>
          <w:rFonts w:ascii="Arial" w:hAnsi="Arial" w:cs="Arial"/>
          <w:lang w:val="el-GR"/>
        </w:rPr>
        <w:t>τα Έσοδα</w:t>
      </w:r>
      <w:r w:rsidR="009A2748">
        <w:rPr>
          <w:rFonts w:ascii="Arial" w:hAnsi="Arial" w:cs="Arial"/>
          <w:lang w:val="el-GR"/>
        </w:rPr>
        <w:t xml:space="preserve"> (</w:t>
      </w:r>
      <w:r w:rsidR="005C767B">
        <w:rPr>
          <w:rFonts w:ascii="Arial" w:hAnsi="Arial" w:cs="Arial"/>
          <w:lang w:val="el-GR"/>
        </w:rPr>
        <w:t>Κ</w:t>
      </w:r>
      <w:r w:rsidR="009A2748">
        <w:rPr>
          <w:rFonts w:ascii="Arial" w:hAnsi="Arial" w:cs="Arial"/>
          <w:lang w:val="el-GR"/>
        </w:rPr>
        <w:t xml:space="preserve">ατηγορίες </w:t>
      </w:r>
      <w:r w:rsidR="009A2748" w:rsidRPr="005C767B">
        <w:rPr>
          <w:rFonts w:ascii="Arial" w:hAnsi="Arial" w:cs="Arial"/>
          <w:i/>
          <w:lang w:val="el-GR"/>
        </w:rPr>
        <w:t>1-</w:t>
      </w:r>
      <w:r w:rsidR="00B3171E">
        <w:rPr>
          <w:rFonts w:ascii="Arial" w:hAnsi="Arial" w:cs="Arial"/>
          <w:i/>
          <w:lang w:val="el-GR"/>
        </w:rPr>
        <w:t>8</w:t>
      </w:r>
      <w:r w:rsidR="009A2748">
        <w:rPr>
          <w:rFonts w:ascii="Arial" w:hAnsi="Arial" w:cs="Arial"/>
          <w:lang w:val="el-GR"/>
        </w:rPr>
        <w:t>)</w:t>
      </w:r>
      <w:r w:rsidR="00FC0D48">
        <w:rPr>
          <w:rFonts w:ascii="Arial" w:hAnsi="Arial" w:cs="Arial"/>
          <w:lang w:val="el-GR"/>
        </w:rPr>
        <w:t xml:space="preserve">, συμπληρώνονται τα ποσά που προβλέπεται να </w:t>
      </w:r>
      <w:r w:rsidR="00B66B64">
        <w:rPr>
          <w:rFonts w:ascii="Arial" w:hAnsi="Arial" w:cs="Arial"/>
          <w:lang w:val="el-GR"/>
        </w:rPr>
        <w:t>τιμολογηθούν κατά τη διάρκεια</w:t>
      </w:r>
      <w:r w:rsidR="00FC0D48">
        <w:rPr>
          <w:rFonts w:ascii="Arial" w:hAnsi="Arial" w:cs="Arial"/>
          <w:lang w:val="el-GR"/>
        </w:rPr>
        <w:t xml:space="preserve"> της κάθε τριμηνιαίας περιόδου του έτους, ανεξάρτητα με το </w:t>
      </w:r>
      <w:r w:rsidR="00B66B64">
        <w:rPr>
          <w:rFonts w:ascii="Arial" w:hAnsi="Arial" w:cs="Arial"/>
          <w:lang w:val="el-GR"/>
        </w:rPr>
        <w:t>πότε αναμένεται να εισπραχθούν.</w:t>
      </w:r>
      <w:r w:rsidR="005F0D32">
        <w:rPr>
          <w:rFonts w:ascii="Arial" w:hAnsi="Arial" w:cs="Arial"/>
          <w:lang w:val="el-GR"/>
        </w:rPr>
        <w:t xml:space="preserve"> </w:t>
      </w:r>
      <w:r w:rsidR="009A2748">
        <w:rPr>
          <w:rFonts w:ascii="Arial" w:hAnsi="Arial" w:cs="Arial"/>
          <w:lang w:val="el-GR"/>
        </w:rPr>
        <w:t xml:space="preserve">Εξαίρεση αποτελούν η Κατηγορία </w:t>
      </w:r>
      <w:r w:rsidR="00B3171E">
        <w:rPr>
          <w:rFonts w:ascii="Arial" w:hAnsi="Arial" w:cs="Arial"/>
          <w:i/>
          <w:lang w:val="el-GR"/>
        </w:rPr>
        <w:t>4</w:t>
      </w:r>
      <w:r w:rsidR="009A2748" w:rsidRPr="009A2748">
        <w:rPr>
          <w:rFonts w:ascii="Arial" w:hAnsi="Arial" w:cs="Arial"/>
          <w:i/>
          <w:lang w:val="el-GR"/>
        </w:rPr>
        <w:t xml:space="preserve"> Έσοδα από τόκους και μερίσματα</w:t>
      </w:r>
      <w:r w:rsidR="009A2748">
        <w:rPr>
          <w:rFonts w:ascii="Arial" w:hAnsi="Arial" w:cs="Arial"/>
          <w:lang w:val="el-GR"/>
        </w:rPr>
        <w:t xml:space="preserve"> και η Κατηγορία </w:t>
      </w:r>
      <w:r w:rsidR="00B3171E">
        <w:rPr>
          <w:rFonts w:ascii="Arial" w:hAnsi="Arial" w:cs="Arial"/>
          <w:i/>
          <w:lang w:val="el-GR"/>
        </w:rPr>
        <w:t>6</w:t>
      </w:r>
      <w:r w:rsidR="009A2748" w:rsidRPr="009A2748">
        <w:rPr>
          <w:rFonts w:ascii="Arial" w:hAnsi="Arial" w:cs="Arial"/>
          <w:i/>
          <w:lang w:val="el-GR"/>
        </w:rPr>
        <w:t xml:space="preserve"> Κρατικές Χορηγίες (Τρέχουσες)</w:t>
      </w:r>
      <w:r w:rsidR="009A2748">
        <w:rPr>
          <w:rFonts w:ascii="Arial" w:hAnsi="Arial" w:cs="Arial"/>
          <w:lang w:val="el-GR"/>
        </w:rPr>
        <w:t xml:space="preserve"> για τις οποίες οι προβλέψεις και τα πραγματικά αποτελέσματα θα πρέπει να παρουσιάζονται στη βάση εισπράξεων και πληρωμών</w:t>
      </w:r>
      <w:r w:rsidR="005C767B">
        <w:rPr>
          <w:rFonts w:ascii="Arial" w:hAnsi="Arial" w:cs="Arial"/>
          <w:lang w:val="el-GR"/>
        </w:rPr>
        <w:t>, δηλαδή ανάλογα με το πότε αναμένεται να εισπραχθούν τα ποσά.</w:t>
      </w:r>
      <w:r w:rsidR="009A2748">
        <w:rPr>
          <w:rFonts w:ascii="Arial" w:hAnsi="Arial" w:cs="Arial"/>
          <w:lang w:val="el-GR"/>
        </w:rPr>
        <w:t xml:space="preserve"> </w:t>
      </w:r>
    </w:p>
    <w:p w:rsidR="005C767B" w:rsidRDefault="005C767B" w:rsidP="00364F19">
      <w:pPr>
        <w:spacing w:after="0"/>
        <w:jc w:val="both"/>
        <w:rPr>
          <w:rFonts w:ascii="Arial" w:hAnsi="Arial" w:cs="Arial"/>
          <w:lang w:val="el-GR"/>
        </w:rPr>
      </w:pPr>
    </w:p>
    <w:p w:rsidR="00FC0D48" w:rsidRDefault="00FC0D48" w:rsidP="00364F19">
      <w:pPr>
        <w:spacing w:after="0"/>
        <w:jc w:val="both"/>
        <w:rPr>
          <w:rFonts w:ascii="Arial" w:hAnsi="Arial" w:cs="Arial"/>
          <w:lang w:val="el-GR"/>
        </w:rPr>
      </w:pPr>
      <w:r>
        <w:rPr>
          <w:rFonts w:ascii="Arial" w:hAnsi="Arial" w:cs="Arial"/>
          <w:lang w:val="el-GR"/>
        </w:rPr>
        <w:t>Στις στήλες που αφορούν τι</w:t>
      </w:r>
      <w:r w:rsidR="0013612E">
        <w:rPr>
          <w:rFonts w:ascii="Arial" w:hAnsi="Arial" w:cs="Arial"/>
          <w:lang w:val="el-GR"/>
        </w:rPr>
        <w:t>ς τριμηνιαίες προβλέψεις για τις Δαπάνες</w:t>
      </w:r>
      <w:r w:rsidR="005C767B">
        <w:rPr>
          <w:rFonts w:ascii="Arial" w:hAnsi="Arial" w:cs="Arial"/>
          <w:lang w:val="el-GR"/>
        </w:rPr>
        <w:t xml:space="preserve"> (Κατηγορίες </w:t>
      </w:r>
      <w:r w:rsidR="00B3171E">
        <w:rPr>
          <w:rFonts w:ascii="Arial" w:hAnsi="Arial" w:cs="Arial"/>
          <w:i/>
          <w:lang w:val="el-GR"/>
        </w:rPr>
        <w:t>10</w:t>
      </w:r>
      <w:r w:rsidR="005C767B" w:rsidRPr="005C767B">
        <w:rPr>
          <w:rFonts w:ascii="Arial" w:hAnsi="Arial" w:cs="Arial"/>
          <w:i/>
          <w:lang w:val="el-GR"/>
        </w:rPr>
        <w:t>-1</w:t>
      </w:r>
      <w:r w:rsidR="00B3171E">
        <w:rPr>
          <w:rFonts w:ascii="Arial" w:hAnsi="Arial" w:cs="Arial"/>
          <w:i/>
          <w:lang w:val="el-GR"/>
        </w:rPr>
        <w:t>6</w:t>
      </w:r>
      <w:r w:rsidR="005C767B">
        <w:rPr>
          <w:rFonts w:ascii="Arial" w:hAnsi="Arial" w:cs="Arial"/>
          <w:lang w:val="el-GR"/>
        </w:rPr>
        <w:t>)</w:t>
      </w:r>
      <w:r>
        <w:rPr>
          <w:rFonts w:ascii="Arial" w:hAnsi="Arial" w:cs="Arial"/>
          <w:lang w:val="el-GR"/>
        </w:rPr>
        <w:t>, συμπληρώνονται τα π</w:t>
      </w:r>
      <w:r w:rsidR="00B66B64">
        <w:rPr>
          <w:rFonts w:ascii="Arial" w:hAnsi="Arial" w:cs="Arial"/>
          <w:lang w:val="el-GR"/>
        </w:rPr>
        <w:t>οσά που προβλέπετ</w:t>
      </w:r>
      <w:r w:rsidR="00B3171E">
        <w:rPr>
          <w:rFonts w:ascii="Arial" w:hAnsi="Arial" w:cs="Arial"/>
          <w:lang w:val="el-GR"/>
        </w:rPr>
        <w:t>αι να τιμολογηθούν προς τον Οργανισμό</w:t>
      </w:r>
      <w:r>
        <w:rPr>
          <w:rFonts w:ascii="Arial" w:hAnsi="Arial" w:cs="Arial"/>
          <w:lang w:val="el-GR"/>
        </w:rPr>
        <w:t xml:space="preserve">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 xml:space="preserve">ου </w:t>
      </w:r>
      <w:r w:rsidR="00B66B64">
        <w:rPr>
          <w:rFonts w:ascii="Arial" w:hAnsi="Arial" w:cs="Arial"/>
          <w:lang w:val="el-GR"/>
        </w:rPr>
        <w:t xml:space="preserve">έτους, ανεξάρτητα με το πότε αναμένεται να γίνει η </w:t>
      </w:r>
      <w:r w:rsidR="0013612E">
        <w:rPr>
          <w:rFonts w:ascii="Arial" w:hAnsi="Arial" w:cs="Arial"/>
          <w:lang w:val="el-GR"/>
        </w:rPr>
        <w:t>εξόφληση/απο</w:t>
      </w:r>
      <w:r w:rsidR="00B66B64">
        <w:rPr>
          <w:rFonts w:ascii="Arial" w:hAnsi="Arial" w:cs="Arial"/>
          <w:lang w:val="el-GR"/>
        </w:rPr>
        <w:t>πληρωμή τους</w:t>
      </w:r>
      <w:r w:rsidR="0013764F">
        <w:rPr>
          <w:rFonts w:ascii="Arial" w:hAnsi="Arial" w:cs="Arial"/>
          <w:lang w:val="el-GR"/>
        </w:rPr>
        <w:t>.</w:t>
      </w:r>
      <w:r w:rsidR="008A17F9">
        <w:rPr>
          <w:rFonts w:ascii="Arial" w:hAnsi="Arial" w:cs="Arial"/>
          <w:lang w:val="el-GR"/>
        </w:rPr>
        <w:t xml:space="preserve"> Εξαίρεση αποτελεί η Κατηγορία </w:t>
      </w:r>
      <w:r w:rsidR="00B3171E">
        <w:rPr>
          <w:rFonts w:ascii="Arial" w:hAnsi="Arial" w:cs="Arial"/>
          <w:i/>
          <w:lang w:val="el-GR"/>
        </w:rPr>
        <w:t>14</w:t>
      </w:r>
      <w:r w:rsidR="008A17F9" w:rsidRPr="009A2748">
        <w:rPr>
          <w:rFonts w:ascii="Arial" w:hAnsi="Arial" w:cs="Arial"/>
          <w:i/>
          <w:lang w:val="el-GR"/>
        </w:rPr>
        <w:t xml:space="preserve"> </w:t>
      </w:r>
      <w:r w:rsidR="008A17F9">
        <w:rPr>
          <w:rFonts w:ascii="Arial" w:hAnsi="Arial" w:cs="Arial"/>
          <w:i/>
          <w:lang w:val="el-GR"/>
        </w:rPr>
        <w:t>Τόκοι και Τραπεζικές Χρεώσεις</w:t>
      </w:r>
      <w:r w:rsidR="008A17F9">
        <w:rPr>
          <w:rFonts w:ascii="Arial" w:hAnsi="Arial" w:cs="Arial"/>
          <w:lang w:val="el-GR"/>
        </w:rPr>
        <w:t xml:space="preserve"> για την οποία οι προβλέψεις και τα πραγματικά αποτελέσματα θα πρέπει να παρουσιάζονται στη βάση εισπράξεων και πληρωμών, δηλαδή ανάλογα με το πότε αναμένεται να πληρωθούν τα ποσά.</w:t>
      </w:r>
      <w:r w:rsidR="00E852F6">
        <w:rPr>
          <w:rFonts w:ascii="Arial" w:hAnsi="Arial" w:cs="Arial"/>
          <w:lang w:val="el-GR"/>
        </w:rPr>
        <w:t xml:space="preserve"> Εξαί</w:t>
      </w:r>
      <w:r w:rsidR="00B3171E">
        <w:rPr>
          <w:rFonts w:ascii="Arial" w:hAnsi="Arial" w:cs="Arial"/>
          <w:lang w:val="el-GR"/>
        </w:rPr>
        <w:t>ρεση αποτελεί και η Κατηγορία 15</w:t>
      </w:r>
      <w:r w:rsidR="00E852F6">
        <w:rPr>
          <w:rFonts w:ascii="Arial" w:hAnsi="Arial" w:cs="Arial"/>
          <w:lang w:val="el-GR"/>
        </w:rPr>
        <w:t xml:space="preserve"> Αποσβέσεις για την οποία για διευκόλυνση σας θα γίνει κατανομή των προϋπολογιζόμενων ποσών στα τέσσερα τρίμηνα.</w:t>
      </w:r>
    </w:p>
    <w:p w:rsidR="00F504CE" w:rsidRDefault="00F504CE" w:rsidP="00364F19">
      <w:pPr>
        <w:spacing w:after="0"/>
        <w:jc w:val="both"/>
        <w:rPr>
          <w:rFonts w:ascii="Arial" w:hAnsi="Arial" w:cs="Arial"/>
          <w:lang w:val="el-GR"/>
        </w:rPr>
      </w:pPr>
    </w:p>
    <w:p w:rsidR="00F504CE" w:rsidRPr="008A17F9" w:rsidRDefault="00901284" w:rsidP="00364F19">
      <w:pPr>
        <w:spacing w:after="0"/>
        <w:jc w:val="both"/>
        <w:rPr>
          <w:rFonts w:ascii="Arial" w:hAnsi="Arial" w:cs="Arial"/>
          <w:lang w:val="el-GR"/>
        </w:rPr>
      </w:pPr>
      <w:r>
        <w:rPr>
          <w:rFonts w:ascii="Arial" w:hAnsi="Arial" w:cs="Arial"/>
          <w:lang w:val="el-GR"/>
        </w:rPr>
        <w:t>Για ό</w:t>
      </w:r>
      <w:r w:rsidR="00F504CE">
        <w:rPr>
          <w:rFonts w:ascii="Arial" w:hAnsi="Arial" w:cs="Arial"/>
          <w:lang w:val="el-GR"/>
        </w:rPr>
        <w:t xml:space="preserve">λα τα ποσά που αφορούν την </w:t>
      </w:r>
      <w:r w:rsidR="00F504CE" w:rsidRPr="006C57C9">
        <w:rPr>
          <w:rFonts w:ascii="Arial" w:hAnsi="Arial" w:cs="Arial"/>
          <w:b/>
          <w:i/>
          <w:lang w:val="el-GR"/>
        </w:rPr>
        <w:t>Ταμειακή Ροή</w:t>
      </w:r>
      <w:r w:rsidR="00B3171E">
        <w:rPr>
          <w:rFonts w:ascii="Arial" w:hAnsi="Arial" w:cs="Arial"/>
          <w:lang w:val="el-GR"/>
        </w:rPr>
        <w:t xml:space="preserve"> (από τη γραμμή 33</w:t>
      </w:r>
      <w:r>
        <w:rPr>
          <w:rFonts w:ascii="Arial" w:hAnsi="Arial" w:cs="Arial"/>
          <w:lang w:val="el-GR"/>
        </w:rPr>
        <w:t xml:space="preserve"> και μετά) θα γίνονται προβλέψεις στη βάση των εισπράξεων και πληρωμών</w:t>
      </w:r>
      <w:r w:rsidR="00BA0259">
        <w:rPr>
          <w:rFonts w:ascii="Arial" w:hAnsi="Arial" w:cs="Arial"/>
          <w:lang w:val="el-GR"/>
        </w:rPr>
        <w:t>.</w:t>
      </w:r>
      <w:r w:rsidR="00F504CE">
        <w:rPr>
          <w:rFonts w:ascii="Arial" w:hAnsi="Arial" w:cs="Arial"/>
          <w:lang w:val="el-GR"/>
        </w:rPr>
        <w:t xml:space="preserve"> </w:t>
      </w:r>
    </w:p>
    <w:p w:rsidR="008B7885" w:rsidRDefault="008B7885"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Pr>
          <w:rFonts w:ascii="Arial" w:hAnsi="Arial" w:cs="Arial"/>
          <w:lang w:val="el-GR"/>
        </w:rPr>
        <w:t xml:space="preserve">Δεν θα πρέπει να γίνονται αναθεωρήσεις των προβλέψεων για τρίμηνα τα οποία έχουν παρέλθει ή για το τρέχον τρίμηνο. </w:t>
      </w:r>
      <w:r w:rsidR="00527894">
        <w:rPr>
          <w:rFonts w:ascii="Arial" w:hAnsi="Arial" w:cs="Arial"/>
          <w:lang w:val="el-GR"/>
        </w:rPr>
        <w:t xml:space="preserve">Είναι δυνατόν κατά τη διάρκεια του έτους οι προβλέψεις να διαφοροποιηθούν από τον αρχικό προϋπολογισμό. </w:t>
      </w:r>
    </w:p>
    <w:p w:rsidR="009A2748" w:rsidRDefault="009A2748"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Στις στήλες Μηνιαία Πραγματικά, παρουσιάζονται </w:t>
      </w:r>
      <w:r w:rsidR="000466AC">
        <w:rPr>
          <w:rFonts w:ascii="Arial" w:hAnsi="Arial" w:cs="Arial"/>
          <w:lang w:val="el-GR"/>
        </w:rPr>
        <w:t>τα μηνιαία έσοδα και έξοδα του Οργανισμού όπως αυτά περιλαμβάνονται στην Κατάσταση Συνολικών Εσόδων του Οργανισμού (</w:t>
      </w:r>
      <w:r w:rsidR="000466AC">
        <w:rPr>
          <w:rFonts w:ascii="Arial" w:hAnsi="Arial" w:cs="Arial"/>
          <w:lang w:val="en-US"/>
        </w:rPr>
        <w:t>P</w:t>
      </w:r>
      <w:r w:rsidR="000466AC" w:rsidRPr="000466AC">
        <w:rPr>
          <w:rFonts w:ascii="Arial" w:hAnsi="Arial" w:cs="Arial"/>
          <w:lang w:val="el-GR"/>
        </w:rPr>
        <w:t>&amp;</w:t>
      </w:r>
      <w:r w:rsidR="000466AC">
        <w:rPr>
          <w:rFonts w:ascii="Arial" w:hAnsi="Arial" w:cs="Arial"/>
          <w:lang w:val="en-US"/>
        </w:rPr>
        <w:t>L</w:t>
      </w:r>
      <w:r w:rsidR="000466AC" w:rsidRPr="000466AC">
        <w:rPr>
          <w:rFonts w:ascii="Arial" w:hAnsi="Arial" w:cs="Arial"/>
          <w:lang w:val="el-GR"/>
        </w:rPr>
        <w:t>)</w:t>
      </w:r>
      <w:r w:rsidRPr="00417113">
        <w:rPr>
          <w:rFonts w:ascii="Arial" w:hAnsi="Arial" w:cs="Arial"/>
          <w:lang w:val="el-GR"/>
        </w:rPr>
        <w:t>.</w:t>
      </w:r>
      <w:r w:rsidR="00574420">
        <w:rPr>
          <w:rFonts w:ascii="Arial" w:hAnsi="Arial" w:cs="Arial"/>
          <w:lang w:val="el-GR"/>
        </w:rPr>
        <w:t xml:space="preserve"> Οι κατηγορίες εσόδων και εξόδων επεξηγούνται </w:t>
      </w:r>
      <w:r w:rsidR="009C3EE2">
        <w:rPr>
          <w:rFonts w:ascii="Arial" w:hAnsi="Arial" w:cs="Arial"/>
          <w:lang w:val="el-GR"/>
        </w:rPr>
        <w:t xml:space="preserve">ενδεικτικά </w:t>
      </w:r>
      <w:r w:rsidR="00574420">
        <w:rPr>
          <w:rFonts w:ascii="Arial" w:hAnsi="Arial" w:cs="Arial"/>
          <w:lang w:val="el-GR"/>
        </w:rPr>
        <w:t>ως ακολούθως:</w:t>
      </w:r>
    </w:p>
    <w:p w:rsidR="004E0B51" w:rsidRPr="00417113" w:rsidRDefault="004E0B51" w:rsidP="004E0B51">
      <w:pPr>
        <w:spacing w:after="0"/>
        <w:jc w:val="both"/>
        <w:rPr>
          <w:rFonts w:ascii="Arial" w:hAnsi="Arial" w:cs="Arial"/>
          <w:lang w:val="el-GR"/>
        </w:rPr>
      </w:pPr>
    </w:p>
    <w:p w:rsidR="004E0B51" w:rsidRPr="003724DA" w:rsidRDefault="000466AC" w:rsidP="004E0B51">
      <w:pPr>
        <w:spacing w:after="0"/>
        <w:jc w:val="both"/>
        <w:rPr>
          <w:rFonts w:ascii="Arial" w:hAnsi="Arial" w:cs="Arial"/>
          <w:i/>
          <w:u w:val="single"/>
          <w:lang w:val="el-GR"/>
        </w:rPr>
      </w:pPr>
      <w:r w:rsidRPr="003724DA">
        <w:rPr>
          <w:rFonts w:ascii="Arial" w:hAnsi="Arial" w:cs="Arial"/>
          <w:u w:val="single"/>
          <w:lang w:val="el-GR"/>
        </w:rPr>
        <w:t>Έσοδα</w:t>
      </w:r>
      <w:r w:rsidR="004E0B51" w:rsidRPr="003724DA">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w:t>
      </w:r>
      <w:r w:rsidR="004E0B51" w:rsidRPr="003724DA">
        <w:rPr>
          <w:rFonts w:ascii="Arial" w:hAnsi="Arial" w:cs="Arial"/>
          <w:i/>
          <w:u w:val="single"/>
          <w:lang w:val="el-GR"/>
        </w:rPr>
        <w:t xml:space="preserve"> Άμεση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φορολογία που επιβάλλεται πάνω στα έσοδα ή περιουσιακά στοιχεία φυσικών ή νομικών προσώπων.</w:t>
      </w:r>
    </w:p>
    <w:p w:rsidR="004E0B51" w:rsidRPr="00417113" w:rsidRDefault="004E0B51" w:rsidP="004E0B51">
      <w:pPr>
        <w:spacing w:after="0"/>
        <w:jc w:val="both"/>
        <w:rPr>
          <w:rFonts w:ascii="Arial" w:hAnsi="Arial" w:cs="Arial"/>
          <w:u w:val="single"/>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2</w:t>
      </w:r>
      <w:r w:rsidR="004E0B51" w:rsidRPr="003724DA">
        <w:rPr>
          <w:rFonts w:ascii="Arial" w:hAnsi="Arial" w:cs="Arial"/>
          <w:i/>
          <w:u w:val="single"/>
          <w:lang w:val="el-GR"/>
        </w:rPr>
        <w:t xml:space="preserve"> Έμμεση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w:t>
      </w:r>
      <w:r w:rsidR="00574420">
        <w:rPr>
          <w:rFonts w:ascii="Arial" w:hAnsi="Arial" w:cs="Arial"/>
          <w:lang w:val="el-GR"/>
        </w:rPr>
        <w:t>ες</w:t>
      </w:r>
      <w:r w:rsidR="004E0B51" w:rsidRPr="00417113">
        <w:rPr>
          <w:rFonts w:ascii="Arial" w:hAnsi="Arial" w:cs="Arial"/>
          <w:lang w:val="el-GR"/>
        </w:rPr>
        <w:t xml:space="preserve"> που </w:t>
      </w:r>
      <w:r w:rsidR="00574420" w:rsidRPr="00574420">
        <w:rPr>
          <w:rFonts w:ascii="Arial" w:hAnsi="Arial" w:cs="Arial"/>
          <w:lang w:val="el-GR"/>
        </w:rPr>
        <w:t>σχετίζονται με την παραγωγή και την εισαγωγή αγαθών και υπηρεσιών, την απασχόληση εργατικού δυναμικού, την ιδιοκτησία ή χρήση γης, κτιρίων ή άλλων περιουσιακών στοιχείων που χρησιμοποιούνται για την παραγωγή</w:t>
      </w:r>
      <w:r w:rsidR="004E0B51" w:rsidRPr="00417113">
        <w:rPr>
          <w:rFonts w:ascii="Arial" w:hAnsi="Arial" w:cs="Arial"/>
          <w:lang w:val="el-GR"/>
        </w:rPr>
        <w:t>.</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3</w:t>
      </w:r>
      <w:r w:rsidR="004E0B51" w:rsidRPr="003724DA">
        <w:rPr>
          <w:rFonts w:ascii="Arial" w:hAnsi="Arial" w:cs="Arial"/>
          <w:i/>
          <w:u w:val="single"/>
          <w:lang w:val="el-GR"/>
        </w:rPr>
        <w:t xml:space="preserve"> Έσοδα από παροχή υπηρεσιών</w:t>
      </w:r>
      <w:r w:rsidR="004E0B51" w:rsidRPr="003724DA">
        <w:rPr>
          <w:rFonts w:ascii="Arial" w:hAnsi="Arial" w:cs="Arial"/>
          <w:u w:val="single"/>
          <w:lang w:val="el-GR"/>
        </w:rPr>
        <w:t xml:space="preserve"> </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που λαμβάνονται ως αντάλλαγμα για παροχή υπηρεσιών/ αγαθών.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9C3EE2"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Ενοίκια εισπρακτέα</w:t>
      </w:r>
    </w:p>
    <w:p w:rsidR="004E0B51" w:rsidRPr="00417113"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Δικαιώματα χώρων στάθμευ</w:t>
      </w:r>
      <w:r w:rsidRPr="00417113">
        <w:rPr>
          <w:rFonts w:ascii="Arial" w:hAnsi="Arial" w:cs="Arial"/>
          <w:lang w:val="el-GR"/>
        </w:rPr>
        <w:t>σης</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Δίδακτρα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Πώληση εισιτηρίων</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Έσοδα από διαφημίσεις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6 </w:t>
      </w:r>
      <w:r w:rsidR="004E0B51" w:rsidRPr="003724DA">
        <w:rPr>
          <w:rFonts w:ascii="Arial" w:hAnsi="Arial" w:cs="Arial"/>
          <w:i/>
          <w:u w:val="single"/>
          <w:lang w:val="el-GR"/>
        </w:rPr>
        <w:t>Κρατικές Χορηγίες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το κράτος για κάλυψη λειτουργικών δαπανών.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Κρατική Χορηγία</w:t>
      </w:r>
    </w:p>
    <w:p w:rsidR="004E0B51"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Εκπαιδευτικές Χορηγίες</w:t>
      </w:r>
    </w:p>
    <w:p w:rsidR="00D01CA5" w:rsidRPr="00417113" w:rsidRDefault="00D01CA5" w:rsidP="004E0B51">
      <w:pPr>
        <w:pStyle w:val="ListParagraph"/>
        <w:numPr>
          <w:ilvl w:val="0"/>
          <w:numId w:val="1"/>
        </w:numPr>
        <w:spacing w:after="0"/>
        <w:jc w:val="both"/>
        <w:rPr>
          <w:rFonts w:ascii="Arial" w:hAnsi="Arial" w:cs="Arial"/>
          <w:lang w:val="el-GR"/>
        </w:rPr>
      </w:pPr>
      <w:r>
        <w:rPr>
          <w:rFonts w:ascii="Arial" w:hAnsi="Arial" w:cs="Arial"/>
          <w:lang w:val="el-GR"/>
        </w:rPr>
        <w:t>Χορηγίες για Ευρωπαϊκά Προγράμματα (όχι κεφαλαιουχικής φύσης)</w:t>
      </w:r>
    </w:p>
    <w:p w:rsidR="003724DA" w:rsidRPr="00417113" w:rsidRDefault="003724DA"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7</w:t>
      </w:r>
      <w:r w:rsidR="004E0B51" w:rsidRPr="003724DA">
        <w:rPr>
          <w:rFonts w:ascii="Arial" w:hAnsi="Arial" w:cs="Arial"/>
          <w:i/>
          <w:u w:val="single"/>
          <w:lang w:val="el-GR"/>
        </w:rPr>
        <w:t xml:space="preserve"> Άλλες Χορηγίες</w:t>
      </w:r>
      <w:r w:rsidR="003724DA">
        <w:rPr>
          <w:rFonts w:ascii="Arial" w:hAnsi="Arial" w:cs="Arial"/>
          <w:i/>
          <w:u w:val="single"/>
          <w:lang w:val="el-GR"/>
        </w:rPr>
        <w:t xml:space="preserve">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άλλες πηγές</w:t>
      </w:r>
      <w:r w:rsidR="003724DA">
        <w:rPr>
          <w:rFonts w:ascii="Arial" w:hAnsi="Arial" w:cs="Arial"/>
          <w:lang w:val="el-GR"/>
        </w:rPr>
        <w:t xml:space="preserve"> </w:t>
      </w:r>
      <w:r w:rsidR="003724DA" w:rsidRPr="00417113">
        <w:rPr>
          <w:rFonts w:ascii="Arial" w:hAnsi="Arial" w:cs="Arial"/>
          <w:lang w:val="el-GR"/>
        </w:rPr>
        <w:t>για κάλυψη λειτουργικών δαπανών</w:t>
      </w:r>
      <w:r w:rsidRPr="00417113">
        <w:rPr>
          <w:rFonts w:ascii="Arial" w:hAnsi="Arial" w:cs="Arial"/>
          <w:lang w:val="el-GR"/>
        </w:rPr>
        <w:t>.</w:t>
      </w:r>
    </w:p>
    <w:p w:rsidR="004E0B51" w:rsidRPr="00417113" w:rsidRDefault="004E0B51" w:rsidP="004E0B51">
      <w:pPr>
        <w:spacing w:after="0"/>
        <w:jc w:val="both"/>
        <w:rPr>
          <w:rFonts w:ascii="Arial" w:hAnsi="Arial" w:cs="Arial"/>
          <w:lang w:val="el-GR"/>
        </w:rPr>
      </w:pPr>
      <w:r w:rsidRPr="00417113">
        <w:rPr>
          <w:rFonts w:ascii="Arial" w:hAnsi="Arial" w:cs="Arial"/>
          <w:lang w:val="el-GR"/>
        </w:rPr>
        <w:lastRenderedPageBreak/>
        <w:t xml:space="preserve"> </w:t>
      </w: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8 </w:t>
      </w:r>
      <w:r w:rsidR="004E0B51" w:rsidRPr="003724DA">
        <w:rPr>
          <w:rFonts w:ascii="Arial" w:hAnsi="Arial" w:cs="Arial"/>
          <w:i/>
          <w:u w:val="single"/>
          <w:lang w:val="el-GR"/>
        </w:rPr>
        <w:t>Άλλα</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εισπράξεις που δεν μπορούν να κατηγοριοποιηθούν σε κάποια από τις άλλες κατηγορίες.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10</w:t>
      </w:r>
      <w:r w:rsidR="004E0B51" w:rsidRPr="003724DA">
        <w:rPr>
          <w:rFonts w:ascii="Arial" w:hAnsi="Arial" w:cs="Arial"/>
          <w:i/>
          <w:u w:val="single"/>
          <w:lang w:val="el-GR"/>
        </w:rPr>
        <w:t xml:space="preserve"> Δαπάνες Προσωπικού</w:t>
      </w:r>
    </w:p>
    <w:p w:rsidR="00CD6AEC" w:rsidRDefault="000466AC" w:rsidP="004E0B51">
      <w:pPr>
        <w:spacing w:after="0"/>
        <w:jc w:val="both"/>
        <w:rPr>
          <w:rFonts w:ascii="Arial" w:hAnsi="Arial"/>
          <w:szCs w:val="24"/>
          <w:lang w:val="el-GR"/>
        </w:rPr>
      </w:pPr>
      <w:r>
        <w:rPr>
          <w:rFonts w:ascii="Arial" w:hAnsi="Arial" w:cs="Arial"/>
          <w:lang w:val="el-GR"/>
        </w:rPr>
        <w:t>Περιλαμβάνει όλες τις δαπάνες που αφορούν το κόστος</w:t>
      </w:r>
      <w:r w:rsidR="004E0B51" w:rsidRPr="00417113">
        <w:rPr>
          <w:rFonts w:ascii="Arial" w:hAnsi="Arial" w:cs="Arial"/>
          <w:lang w:val="el-GR"/>
        </w:rPr>
        <w:t xml:space="preserve"> προσωπικού</w:t>
      </w:r>
      <w:r w:rsidR="00E92F57">
        <w:rPr>
          <w:rFonts w:ascii="Arial" w:hAnsi="Arial" w:cs="Arial"/>
          <w:lang w:val="el-GR"/>
        </w:rPr>
        <w:t>.</w:t>
      </w:r>
      <w:r w:rsidR="00E92F57" w:rsidRPr="00E92F57">
        <w:rPr>
          <w:rFonts w:ascii="Arial" w:hAnsi="Arial"/>
          <w:szCs w:val="24"/>
          <w:lang w:val="el-GR"/>
        </w:rPr>
        <w:t xml:space="preserve"> </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Μισθοί, ημερομίσθια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Εισφορές εργοδότη σε διάφορα ταμεία</w:t>
      </w:r>
    </w:p>
    <w:p w:rsidR="00CD6AEC" w:rsidRDefault="00CD6AEC" w:rsidP="004E0B51">
      <w:pPr>
        <w:spacing w:after="0"/>
        <w:jc w:val="both"/>
        <w:rPr>
          <w:rFonts w:ascii="Arial" w:hAnsi="Arial" w:cs="Arial"/>
          <w:lang w:val="el-GR"/>
        </w:rPr>
      </w:pP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υπάρχει Ταμείο Συντάξεων στον Οργανισμό, στο οποίο καταβάλλονται μηνιαία εισφορές από τον Εργοδότη για τα συνταξιοδοτικά ωφελήματα 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Οποιαδήποτε </w:t>
      </w:r>
      <w:r w:rsidRPr="00CD6AEC">
        <w:rPr>
          <w:rFonts w:ascii="Arial" w:hAnsi="Arial" w:cs="Arial"/>
          <w:lang w:val="el-GR"/>
        </w:rPr>
        <w:t>ποσά πληρώνονται σε συντάξεις και φιλοδωρήματα</w:t>
      </w:r>
      <w:r w:rsidRPr="00E92F57">
        <w:rPr>
          <w:rFonts w:ascii="Arial" w:hAnsi="Arial" w:cs="Arial"/>
          <w:lang w:val="el-GR"/>
        </w:rPr>
        <w:t xml:space="preserve"> από το Ταμείο Συντάξεων του Οργανισμού</w:t>
      </w:r>
      <w:r>
        <w:rPr>
          <w:rFonts w:ascii="Arial" w:hAnsi="Arial" w:cs="Arial"/>
          <w:lang w:val="el-GR"/>
        </w:rPr>
        <w:t xml:space="preserve"> δεν θα περιλαμβάνονται στις Δαπάνες Προσωπικού. </w:t>
      </w: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δεν υπάρχει Ταμείο Συντάξεων και υπάρχει μόνο Σχέδιο Συντάξεων και ο Οργανισμός καταβάλλει μόνο τα τρέχοντα συνταξιοδοτικά ωφελήματα των </w:t>
      </w:r>
      <w:proofErr w:type="spellStart"/>
      <w:r>
        <w:rPr>
          <w:rFonts w:ascii="Arial" w:hAnsi="Arial" w:cs="Arial"/>
          <w:lang w:val="el-GR"/>
        </w:rPr>
        <w:t>αφυπηρετήσαντων</w:t>
      </w:r>
      <w:proofErr w:type="spellEnd"/>
      <w:r>
        <w:rPr>
          <w:rFonts w:ascii="Arial" w:hAnsi="Arial" w:cs="Arial"/>
          <w:lang w:val="el-GR"/>
        </w:rPr>
        <w:t xml:space="preserve">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w:t>
      </w:r>
    </w:p>
    <w:p w:rsidR="004E0B51" w:rsidRPr="00CD6AEC" w:rsidRDefault="005B0C4E" w:rsidP="004E0B51">
      <w:pPr>
        <w:spacing w:after="0"/>
        <w:jc w:val="both"/>
        <w:rPr>
          <w:rFonts w:ascii="Arial" w:hAnsi="Arial" w:cs="Arial"/>
          <w:lang w:val="el-GR"/>
        </w:rPr>
      </w:pPr>
      <w:r>
        <w:rPr>
          <w:rFonts w:ascii="Arial" w:hAnsi="Arial" w:cs="Arial"/>
          <w:lang w:val="el-GR"/>
        </w:rPr>
        <w:t xml:space="preserve">Η </w:t>
      </w:r>
      <w:r w:rsidR="00CD6AEC">
        <w:rPr>
          <w:rFonts w:ascii="Arial" w:hAnsi="Arial" w:cs="Arial"/>
          <w:lang w:val="el-GR"/>
        </w:rPr>
        <w:t xml:space="preserve">οφειλή του Οργανισμού στο Ταμείο/Σχέδιο Συντάξεων θα πρέπει παρουσιάζεται στον Πίνακα </w:t>
      </w:r>
      <w:r w:rsidR="00CD6AEC" w:rsidRPr="00CD6AEC">
        <w:rPr>
          <w:rFonts w:ascii="Arial" w:hAnsi="Arial" w:cs="Arial"/>
          <w:b/>
          <w:lang w:val="el-GR"/>
        </w:rPr>
        <w:t>Β4</w:t>
      </w:r>
      <w:r w:rsidR="00CD6AEC">
        <w:rPr>
          <w:rFonts w:ascii="Arial" w:hAnsi="Arial" w:cs="Arial"/>
          <w:lang w:val="el-GR"/>
        </w:rPr>
        <w:t xml:space="preserve">. </w:t>
      </w:r>
    </w:p>
    <w:p w:rsidR="00CD6AEC" w:rsidRPr="00417113" w:rsidRDefault="00CD6AEC" w:rsidP="004E0B51">
      <w:pPr>
        <w:spacing w:after="0"/>
        <w:jc w:val="both"/>
        <w:rPr>
          <w:rFonts w:ascii="Arial" w:hAnsi="Arial" w:cs="Arial"/>
          <w:lang w:val="el-GR"/>
        </w:rPr>
      </w:pPr>
    </w:p>
    <w:p w:rsidR="004E0B51" w:rsidRPr="00417113" w:rsidRDefault="00D033AF"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041560">
        <w:rPr>
          <w:rFonts w:ascii="Arial" w:hAnsi="Arial" w:cs="Arial"/>
          <w:i/>
          <w:u w:val="single"/>
          <w:lang w:val="el-GR"/>
        </w:rPr>
        <w:t>12</w:t>
      </w:r>
      <w:r w:rsidR="004E0B51" w:rsidRPr="00041560">
        <w:rPr>
          <w:rFonts w:ascii="Arial" w:hAnsi="Arial" w:cs="Arial"/>
          <w:i/>
          <w:u w:val="single"/>
          <w:lang w:val="el-GR"/>
        </w:rPr>
        <w:t xml:space="preserve"> Τρέχουσες Μεταβιβάσεις</w:t>
      </w:r>
    </w:p>
    <w:p w:rsidR="004E0B51" w:rsidRDefault="00D033AF" w:rsidP="004E0B51">
      <w:pPr>
        <w:spacing w:after="0"/>
        <w:jc w:val="both"/>
        <w:rPr>
          <w:rFonts w:ascii="Arial" w:hAnsi="Arial" w:cs="Arial"/>
          <w:lang w:val="el-GR"/>
        </w:rPr>
      </w:pPr>
      <w:r>
        <w:rPr>
          <w:rFonts w:ascii="Arial" w:hAnsi="Arial" w:cs="Arial"/>
          <w:lang w:val="el-GR"/>
        </w:rPr>
        <w:t>Περιλαμβάνει έξοδα</w:t>
      </w:r>
      <w:r w:rsidR="004E0B51" w:rsidRPr="00417113">
        <w:rPr>
          <w:rFonts w:ascii="Arial" w:hAnsi="Arial" w:cs="Arial"/>
          <w:lang w:val="el-GR"/>
        </w:rPr>
        <w:t xml:space="preserve"> που αφορούν χορηγίες προς τρίτους για κάλυψη λειτουργικών δαπανών.</w:t>
      </w:r>
    </w:p>
    <w:p w:rsidR="00041560" w:rsidRDefault="00041560" w:rsidP="004E0B51">
      <w:pPr>
        <w:spacing w:after="0"/>
        <w:jc w:val="both"/>
        <w:rPr>
          <w:rFonts w:ascii="Arial" w:hAnsi="Arial" w:cs="Arial"/>
          <w:lang w:val="el-GR"/>
        </w:rPr>
      </w:pPr>
    </w:p>
    <w:p w:rsidR="00041560" w:rsidRPr="00417113" w:rsidRDefault="00041560" w:rsidP="00041560">
      <w:pPr>
        <w:spacing w:after="0"/>
        <w:jc w:val="both"/>
        <w:rPr>
          <w:rFonts w:ascii="Arial" w:hAnsi="Arial" w:cs="Arial"/>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13 Κεφαλαιουχικές Δαπάνες (που δεν κεφαλαιοποιούνται)</w:t>
      </w:r>
    </w:p>
    <w:p w:rsidR="00041560" w:rsidRPr="00417113" w:rsidRDefault="00041560" w:rsidP="004E0B51">
      <w:pPr>
        <w:spacing w:after="0"/>
        <w:jc w:val="both"/>
        <w:rPr>
          <w:rFonts w:ascii="Arial" w:hAnsi="Arial" w:cs="Arial"/>
          <w:lang w:val="el-GR"/>
        </w:rPr>
      </w:pPr>
      <w:r>
        <w:rPr>
          <w:rFonts w:ascii="Arial" w:hAnsi="Arial" w:cs="Arial"/>
          <w:lang w:val="el-GR"/>
        </w:rPr>
        <w:t xml:space="preserve">Περιλαμβάνει δαπάνες συντήρησης κτιρίων, υποστατικών, γηπέδων και χώρων πρασίνου που δεν κεφαλαιοποιούνται. </w:t>
      </w:r>
    </w:p>
    <w:p w:rsidR="004E0B51" w:rsidRPr="00041560" w:rsidRDefault="004E0B51" w:rsidP="004E0B51">
      <w:pPr>
        <w:spacing w:after="0"/>
        <w:jc w:val="both"/>
        <w:rPr>
          <w:rFonts w:ascii="Arial" w:hAnsi="Arial" w:cs="Arial"/>
          <w:lang w:val="el-GR"/>
        </w:rPr>
      </w:pPr>
    </w:p>
    <w:p w:rsidR="00041560" w:rsidRDefault="00041560" w:rsidP="00041560">
      <w:pPr>
        <w:spacing w:after="0"/>
        <w:jc w:val="both"/>
        <w:rPr>
          <w:rFonts w:ascii="Arial" w:hAnsi="Arial" w:cs="Arial"/>
          <w:i/>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w:t>
      </w:r>
      <w:r>
        <w:rPr>
          <w:rFonts w:ascii="Arial" w:hAnsi="Arial" w:cs="Arial"/>
          <w:i/>
          <w:u w:val="single"/>
          <w:lang w:val="el-GR"/>
        </w:rPr>
        <w:t>6γ</w:t>
      </w:r>
      <w:r w:rsidRPr="00041560">
        <w:rPr>
          <w:rFonts w:ascii="Arial" w:hAnsi="Arial" w:cs="Arial"/>
          <w:i/>
          <w:u w:val="single"/>
          <w:lang w:val="el-GR"/>
        </w:rPr>
        <w:t xml:space="preserve"> Άλλα</w:t>
      </w:r>
    </w:p>
    <w:p w:rsidR="00041560" w:rsidRPr="00041560" w:rsidRDefault="00041560" w:rsidP="00041560">
      <w:pPr>
        <w:spacing w:after="0"/>
        <w:jc w:val="both"/>
        <w:rPr>
          <w:rFonts w:ascii="Arial" w:hAnsi="Arial" w:cs="Arial"/>
          <w:lang w:val="el-GR"/>
        </w:rPr>
      </w:pPr>
      <w:r w:rsidRPr="00041560">
        <w:rPr>
          <w:rFonts w:ascii="Arial" w:hAnsi="Arial" w:cs="Arial"/>
          <w:lang w:val="el-GR"/>
        </w:rPr>
        <w:t xml:space="preserve">Στην κατηγορία </w:t>
      </w:r>
      <w:r w:rsidRPr="00041560">
        <w:rPr>
          <w:rFonts w:ascii="Arial" w:hAnsi="Arial" w:cs="Arial"/>
          <w:i/>
          <w:lang w:val="el-GR"/>
        </w:rPr>
        <w:t>Άλλα Έξοδα</w:t>
      </w:r>
      <w:r w:rsidRPr="00041560">
        <w:rPr>
          <w:rFonts w:ascii="Arial" w:hAnsi="Arial" w:cs="Arial"/>
          <w:lang w:val="el-GR"/>
        </w:rPr>
        <w:t xml:space="preserve"> περιλαμβάνονται μόνο δαπάνες που δεν εμπίπτουν σε κάποια από τις υπόλοιπες κατηγορίες και δεν αφορούν λειτουργικά έξοδα του Οργανισμού (τα οποία θα πρέπει να παρουσιάζονται στην </w:t>
      </w:r>
      <w:r>
        <w:rPr>
          <w:rFonts w:ascii="Arial" w:hAnsi="Arial" w:cs="Arial"/>
          <w:lang w:val="el-GR"/>
        </w:rPr>
        <w:t xml:space="preserve">κατηγορία </w:t>
      </w:r>
      <w:r w:rsidRPr="00041560">
        <w:rPr>
          <w:rFonts w:ascii="Arial" w:hAnsi="Arial" w:cs="Arial"/>
          <w:i/>
          <w:lang w:val="el-GR"/>
        </w:rPr>
        <w:t>11 Λειτουργικές Δαπάνες</w:t>
      </w:r>
      <w:r w:rsidRPr="00041560">
        <w:rPr>
          <w:rFonts w:ascii="Arial" w:hAnsi="Arial" w:cs="Arial"/>
          <w:lang w:val="el-GR"/>
        </w:rPr>
        <w:t>). Λογικά η κατηγορία αυτή χρησιμοποιείται σπάνια.</w:t>
      </w:r>
    </w:p>
    <w:p w:rsidR="00D033AF" w:rsidRPr="00417113" w:rsidRDefault="00D033AF" w:rsidP="00041560">
      <w:pPr>
        <w:spacing w:after="0"/>
        <w:jc w:val="both"/>
        <w:rPr>
          <w:rFonts w:ascii="Arial" w:hAnsi="Arial" w:cs="Arial"/>
          <w:lang w:val="el-GR"/>
        </w:rPr>
      </w:pPr>
    </w:p>
    <w:p w:rsidR="006C57C9" w:rsidRDefault="00DE13FE" w:rsidP="00041560">
      <w:pPr>
        <w:spacing w:after="0"/>
        <w:jc w:val="both"/>
        <w:rPr>
          <w:rFonts w:ascii="Arial" w:hAnsi="Arial" w:cs="Arial"/>
          <w:lang w:val="el-GR"/>
        </w:rPr>
      </w:pPr>
      <w:r>
        <w:rPr>
          <w:rFonts w:ascii="Arial" w:hAnsi="Arial" w:cs="Arial"/>
          <w:lang w:val="el-GR"/>
        </w:rPr>
        <w:t xml:space="preserve">Τα στοιχεία που αφορούν την </w:t>
      </w:r>
      <w:r w:rsidRPr="006C57C9">
        <w:rPr>
          <w:rFonts w:ascii="Arial" w:hAnsi="Arial" w:cs="Arial"/>
          <w:b/>
          <w:i/>
          <w:lang w:val="el-GR"/>
        </w:rPr>
        <w:t>Ταμειακή Ροή</w:t>
      </w:r>
      <w:r w:rsidR="00D033AF">
        <w:rPr>
          <w:rFonts w:ascii="Arial" w:hAnsi="Arial" w:cs="Arial"/>
          <w:lang w:val="el-GR"/>
        </w:rPr>
        <w:t xml:space="preserve"> </w:t>
      </w:r>
      <w:r>
        <w:rPr>
          <w:rFonts w:ascii="Arial" w:hAnsi="Arial" w:cs="Arial"/>
          <w:lang w:val="el-GR"/>
        </w:rPr>
        <w:t xml:space="preserve">συμπληρώνονται </w:t>
      </w:r>
      <w:r w:rsidR="00041560">
        <w:rPr>
          <w:rFonts w:ascii="Arial" w:hAnsi="Arial" w:cs="Arial"/>
          <w:lang w:val="el-GR"/>
        </w:rPr>
        <w:t>επίσης</w:t>
      </w:r>
      <w:r>
        <w:rPr>
          <w:rFonts w:ascii="Arial" w:hAnsi="Arial" w:cs="Arial"/>
          <w:lang w:val="el-GR"/>
        </w:rPr>
        <w:t xml:space="preserve"> στον Πίνακα </w:t>
      </w:r>
      <w:r w:rsidRPr="00DE13FE">
        <w:rPr>
          <w:rFonts w:ascii="Arial" w:hAnsi="Arial" w:cs="Arial"/>
          <w:b/>
          <w:i/>
          <w:lang w:val="el-GR"/>
        </w:rPr>
        <w:t>Β2</w:t>
      </w:r>
      <w:r>
        <w:rPr>
          <w:rFonts w:ascii="Arial" w:hAnsi="Arial" w:cs="Arial"/>
          <w:lang w:val="el-GR"/>
        </w:rPr>
        <w:t xml:space="preserve">. </w:t>
      </w:r>
      <w:r w:rsidR="005B0C4E">
        <w:rPr>
          <w:rFonts w:ascii="Arial" w:hAnsi="Arial" w:cs="Arial"/>
          <w:lang w:val="el-GR"/>
        </w:rPr>
        <w:t>Πιο συγκεκριμένα θα πρέπει να συμπληρώνονται</w:t>
      </w:r>
      <w:r w:rsidR="00E50250">
        <w:rPr>
          <w:rFonts w:ascii="Arial" w:hAnsi="Arial" w:cs="Arial"/>
          <w:lang w:val="el-GR"/>
        </w:rPr>
        <w:t xml:space="preserve"> οι </w:t>
      </w:r>
      <w:r w:rsidR="00E50250">
        <w:rPr>
          <w:rFonts w:ascii="Arial" w:hAnsi="Arial" w:cs="Arial"/>
          <w:i/>
          <w:lang w:val="el-GR"/>
        </w:rPr>
        <w:t>Εισπράξεις που σχετίζονται με τα Έσοδα (1-</w:t>
      </w:r>
      <w:r w:rsidR="0023262F">
        <w:rPr>
          <w:rFonts w:ascii="Arial" w:hAnsi="Arial" w:cs="Arial"/>
          <w:i/>
          <w:lang w:val="el-GR"/>
        </w:rPr>
        <w:t>8</w:t>
      </w:r>
      <w:r w:rsidR="00E44889">
        <w:rPr>
          <w:rFonts w:ascii="Arial" w:hAnsi="Arial" w:cs="Arial"/>
          <w:i/>
          <w:lang w:val="el-GR"/>
        </w:rPr>
        <w:t>)</w:t>
      </w:r>
      <w:r w:rsidR="00E44889">
        <w:rPr>
          <w:rFonts w:ascii="Arial" w:hAnsi="Arial" w:cs="Arial"/>
          <w:lang w:val="el-GR"/>
        </w:rPr>
        <w:t xml:space="preserve"> και οι </w:t>
      </w:r>
      <w:r w:rsidR="00E44889">
        <w:rPr>
          <w:rFonts w:ascii="Arial" w:hAnsi="Arial" w:cs="Arial"/>
          <w:i/>
          <w:lang w:val="el-GR"/>
        </w:rPr>
        <w:t>Πληρωμές πο</w:t>
      </w:r>
      <w:r w:rsidR="0023262F">
        <w:rPr>
          <w:rFonts w:ascii="Arial" w:hAnsi="Arial" w:cs="Arial"/>
          <w:i/>
          <w:lang w:val="el-GR"/>
        </w:rPr>
        <w:t>υ σχετίζονται με τις Δαπάνες (10-16</w:t>
      </w:r>
      <w:r w:rsidR="00E44889">
        <w:rPr>
          <w:rFonts w:ascii="Arial" w:hAnsi="Arial" w:cs="Arial"/>
          <w:i/>
          <w:lang w:val="el-GR"/>
        </w:rPr>
        <w:t>)</w:t>
      </w:r>
      <w:r w:rsidR="00E44889">
        <w:rPr>
          <w:rFonts w:ascii="Arial" w:hAnsi="Arial" w:cs="Arial"/>
          <w:lang w:val="el-GR"/>
        </w:rPr>
        <w:t>. Στις γραμμές αυτές θα πρέπει να συμπληρώνονται αντίστοιχα το σύνολο των εισπράξεων και των πληρωμών του μήνα απομονώνοντας και εξαιρώντας όμως τις κινήσεις που παρουσιάζονται σε ξεχωριστές γραμμές στον ίδιο πίνακα (π.χ. Αναλήψεις Δανείων, Πληρωμές για Αναπτυξιακά Έργα).</w:t>
      </w:r>
    </w:p>
    <w:p w:rsidR="00EB33A0" w:rsidRDefault="00EB33A0" w:rsidP="00041560">
      <w:pPr>
        <w:spacing w:after="0"/>
        <w:jc w:val="both"/>
        <w:rPr>
          <w:rFonts w:ascii="Arial" w:hAnsi="Arial" w:cs="Arial"/>
          <w:lang w:val="el-GR"/>
        </w:rPr>
      </w:pPr>
    </w:p>
    <w:p w:rsidR="00EB33A0" w:rsidRPr="00EB33A0" w:rsidRDefault="00EB33A0" w:rsidP="00041560">
      <w:pPr>
        <w:spacing w:after="0"/>
        <w:jc w:val="both"/>
        <w:rPr>
          <w:rFonts w:ascii="Arial" w:hAnsi="Arial" w:cs="Arial"/>
          <w:i/>
          <w:u w:val="single"/>
          <w:lang w:val="el-GR"/>
        </w:rPr>
      </w:pPr>
      <w:r w:rsidRPr="00EB33A0">
        <w:rPr>
          <w:rFonts w:ascii="Arial" w:hAnsi="Arial" w:cs="Arial"/>
          <w:i/>
          <w:u w:val="single"/>
          <w:lang w:val="el-GR"/>
        </w:rPr>
        <w:t xml:space="preserve">19 Κεφαλαιουχικές Δαπάνες που κεφαλαιοποιούνται </w:t>
      </w:r>
    </w:p>
    <w:p w:rsidR="00EB33A0" w:rsidRDefault="00EB33A0" w:rsidP="00041560">
      <w:pPr>
        <w:spacing w:after="0"/>
        <w:jc w:val="both"/>
        <w:rPr>
          <w:rFonts w:ascii="Arial" w:hAnsi="Arial" w:cs="Arial"/>
          <w:lang w:val="el-GR"/>
        </w:rPr>
      </w:pPr>
      <w:r>
        <w:rPr>
          <w:rFonts w:ascii="Arial" w:hAnsi="Arial" w:cs="Arial"/>
          <w:lang w:val="el-GR"/>
        </w:rPr>
        <w:t xml:space="preserve">Περιλαμβάνει πληρωμές που αφορούν </w:t>
      </w:r>
      <w:r w:rsidRPr="00EB33A0">
        <w:rPr>
          <w:rFonts w:ascii="Arial" w:hAnsi="Arial" w:cs="Arial"/>
          <w:lang w:val="el-GR"/>
        </w:rPr>
        <w:t>μικρής έκτασης έργα</w:t>
      </w:r>
      <w:r>
        <w:rPr>
          <w:rFonts w:ascii="Arial" w:hAnsi="Arial" w:cs="Arial"/>
          <w:lang w:val="el-GR"/>
        </w:rPr>
        <w:t xml:space="preserve"> και αγορές </w:t>
      </w:r>
      <w:r w:rsidRPr="00EB33A0">
        <w:rPr>
          <w:rFonts w:ascii="Arial" w:hAnsi="Arial" w:cs="Arial"/>
          <w:lang w:val="el-GR"/>
        </w:rPr>
        <w:t xml:space="preserve"> που χρηματοδοτούνται αποκλειστικά από τα έσοδα (τακτικού προϋπολογισμού)</w:t>
      </w:r>
      <w:r>
        <w:rPr>
          <w:rFonts w:ascii="Arial" w:hAnsi="Arial" w:cs="Arial"/>
          <w:lang w:val="el-GR"/>
        </w:rPr>
        <w:t xml:space="preserve"> και κεφαλαιοποιούνται ως Στοιχεία Πάγιου Ενεργητικού.</w:t>
      </w:r>
    </w:p>
    <w:p w:rsidR="00EB33A0" w:rsidRDefault="00EB33A0" w:rsidP="00041560">
      <w:pPr>
        <w:spacing w:after="0"/>
        <w:jc w:val="both"/>
        <w:rPr>
          <w:rFonts w:ascii="Arial" w:hAnsi="Arial" w:cs="Arial"/>
          <w:lang w:val="el-GR"/>
        </w:rPr>
      </w:pPr>
      <w:r>
        <w:rPr>
          <w:rFonts w:ascii="Arial" w:hAnsi="Arial" w:cs="Arial"/>
          <w:lang w:val="el-GR"/>
        </w:rPr>
        <w:t>Παραδείγματα:</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επίπλων, σκευών, βιβλίων και εξοπλισμού</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οχημάτων και μηχανημάτων</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προγραμμάτων μηχανογράφησης</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lastRenderedPageBreak/>
        <w:t>Επέκταση και βελτίωση κτιρίων</w:t>
      </w:r>
    </w:p>
    <w:p w:rsidR="00EB33A0" w:rsidRDefault="00EB33A0"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21 Κρατικές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το κράτος για Αναπτυξιακά Έργα.</w:t>
      </w:r>
      <w:r w:rsidRPr="00D01CA5">
        <w:rPr>
          <w:rFonts w:ascii="Arial" w:hAnsi="Arial" w:cs="Arial"/>
          <w:lang w:val="el-GR"/>
        </w:rPr>
        <w:t xml:space="preserve"> </w:t>
      </w:r>
      <w:r>
        <w:rPr>
          <w:rFonts w:ascii="Arial" w:hAnsi="Arial" w:cs="Arial"/>
          <w:lang w:val="el-GR"/>
        </w:rPr>
        <w:t>Π</w:t>
      </w:r>
      <w:r w:rsidRPr="00D01CA5">
        <w:rPr>
          <w:rFonts w:ascii="Arial" w:hAnsi="Arial" w:cs="Arial"/>
          <w:lang w:val="el-GR"/>
        </w:rPr>
        <w:t xml:space="preserve">εριλαμβάνεται </w:t>
      </w:r>
      <w:r>
        <w:rPr>
          <w:rFonts w:ascii="Arial" w:hAnsi="Arial" w:cs="Arial"/>
          <w:lang w:val="el-GR"/>
        </w:rPr>
        <w:t xml:space="preserve">επίσης </w:t>
      </w:r>
      <w:r w:rsidRPr="00D01CA5">
        <w:rPr>
          <w:rFonts w:ascii="Arial" w:hAnsi="Arial" w:cs="Arial"/>
          <w:lang w:val="el-GR"/>
        </w:rPr>
        <w:t>και η χρηματοδότηση που λαμβάνεται από τα Διαρθρωτικά ή άλλα ταμεία της Ευρωπαϊκής Ένωσης μέσω κρατικών υπηρεσιών.</w:t>
      </w:r>
    </w:p>
    <w:p w:rsidR="00D01CA5" w:rsidRDefault="00D01CA5"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22 Άλλες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άλλες πηγές για χρηματοδότηση Αναπτυξιακών Έργων.</w:t>
      </w:r>
    </w:p>
    <w:p w:rsidR="00D01CA5" w:rsidRDefault="00D01CA5" w:rsidP="00EB33A0">
      <w:pPr>
        <w:spacing w:after="0"/>
        <w:jc w:val="both"/>
        <w:rPr>
          <w:rFonts w:ascii="Arial" w:hAnsi="Arial" w:cs="Arial"/>
          <w:lang w:val="el-GR"/>
        </w:rPr>
      </w:pPr>
    </w:p>
    <w:p w:rsidR="00FE7447" w:rsidRPr="00FE7447" w:rsidRDefault="00FE7447" w:rsidP="00EB33A0">
      <w:pPr>
        <w:spacing w:after="0"/>
        <w:jc w:val="both"/>
        <w:rPr>
          <w:rFonts w:ascii="Arial" w:hAnsi="Arial" w:cs="Arial"/>
          <w:i/>
          <w:u w:val="single"/>
          <w:lang w:val="el-GR"/>
        </w:rPr>
      </w:pPr>
      <w:r w:rsidRPr="00FE7447">
        <w:rPr>
          <w:rFonts w:ascii="Arial" w:hAnsi="Arial" w:cs="Arial"/>
          <w:i/>
          <w:u w:val="single"/>
          <w:lang w:val="el-GR"/>
        </w:rPr>
        <w:t>24 Κεφαλαιουχικές Μεταβιβάσεις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πληρωμές που αφορούν χορηγίες προς τρίτους για κάλυψη κεφαλαιουχικών δαπανών.</w:t>
      </w:r>
    </w:p>
    <w:p w:rsidR="00FE7447" w:rsidRDefault="00FE7447" w:rsidP="00EB33A0">
      <w:pPr>
        <w:spacing w:after="0"/>
        <w:jc w:val="both"/>
        <w:rPr>
          <w:rFonts w:ascii="Arial" w:hAnsi="Arial" w:cs="Arial"/>
          <w:lang w:val="el-GR"/>
        </w:rPr>
      </w:pPr>
    </w:p>
    <w:p w:rsidR="00EB33A0" w:rsidRPr="00EB33A0" w:rsidRDefault="00EB33A0" w:rsidP="00EB33A0">
      <w:pPr>
        <w:spacing w:after="0"/>
        <w:jc w:val="both"/>
        <w:rPr>
          <w:rFonts w:ascii="Arial" w:hAnsi="Arial" w:cs="Arial"/>
          <w:i/>
          <w:u w:val="single"/>
          <w:lang w:val="el-GR"/>
        </w:rPr>
      </w:pPr>
      <w:r w:rsidRPr="00EB33A0">
        <w:rPr>
          <w:rFonts w:ascii="Arial" w:hAnsi="Arial" w:cs="Arial"/>
          <w:i/>
          <w:u w:val="single"/>
          <w:lang w:val="el-GR"/>
        </w:rPr>
        <w:t>25 Πληρωμές για Αναπτυξιακά Έργα</w:t>
      </w:r>
    </w:p>
    <w:p w:rsidR="00EB33A0" w:rsidRDefault="00EB33A0" w:rsidP="00EB33A0">
      <w:pPr>
        <w:spacing w:after="0"/>
        <w:jc w:val="both"/>
        <w:rPr>
          <w:rFonts w:ascii="Arial" w:hAnsi="Arial" w:cs="Arial"/>
          <w:lang w:val="el-GR"/>
        </w:rPr>
      </w:pPr>
      <w:r>
        <w:rPr>
          <w:rFonts w:ascii="Arial" w:hAnsi="Arial" w:cs="Arial"/>
          <w:lang w:val="el-GR"/>
        </w:rPr>
        <w:t xml:space="preserve">Περιλαμβάνει πληρωμές για μεγάλα έργα που χρηματοδοτούνται </w:t>
      </w:r>
      <w:r w:rsidR="00D01CA5">
        <w:rPr>
          <w:rFonts w:ascii="Arial" w:hAnsi="Arial" w:cs="Arial"/>
          <w:lang w:val="el-GR"/>
        </w:rPr>
        <w:t xml:space="preserve">από χορηγίες, δάνεια </w:t>
      </w:r>
      <w:r w:rsidR="00FE7447">
        <w:rPr>
          <w:rFonts w:ascii="Arial" w:hAnsi="Arial" w:cs="Arial"/>
          <w:lang w:val="el-GR"/>
        </w:rPr>
        <w:t>και ίδιους πόρους.</w:t>
      </w:r>
    </w:p>
    <w:p w:rsidR="00FE7447" w:rsidRDefault="00FE7447" w:rsidP="00EB33A0">
      <w:pPr>
        <w:spacing w:after="0"/>
        <w:jc w:val="both"/>
        <w:rPr>
          <w:rFonts w:ascii="Arial" w:hAnsi="Arial" w:cs="Arial"/>
          <w:lang w:val="el-GR"/>
        </w:rPr>
      </w:pPr>
      <w:r>
        <w:rPr>
          <w:rFonts w:ascii="Arial" w:hAnsi="Arial" w:cs="Arial"/>
          <w:lang w:val="el-GR"/>
        </w:rPr>
        <w:t>Παραδείγματα:</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Αγορά γης και κτιρίων</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Ανέγερση, επέκταση και βελτίωση κτιρίων</w:t>
      </w:r>
    </w:p>
    <w:p w:rsidR="00FE7447" w:rsidRP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Έργα υποδομής</w:t>
      </w:r>
    </w:p>
    <w:p w:rsidR="006C57C9" w:rsidRDefault="006C57C9" w:rsidP="00364F19">
      <w:pPr>
        <w:spacing w:after="0"/>
        <w:jc w:val="both"/>
        <w:rPr>
          <w:rFonts w:ascii="Arial" w:hAnsi="Arial" w:cs="Arial"/>
          <w:lang w:val="el-GR"/>
        </w:rPr>
      </w:pPr>
    </w:p>
    <w:p w:rsidR="00DE13FE" w:rsidRDefault="006C57C9" w:rsidP="00364F19">
      <w:pPr>
        <w:spacing w:after="0"/>
        <w:jc w:val="both"/>
        <w:rPr>
          <w:rFonts w:ascii="Arial" w:hAnsi="Arial" w:cs="Arial"/>
          <w:lang w:val="el-GR"/>
        </w:rPr>
      </w:pPr>
      <w:r>
        <w:rPr>
          <w:rFonts w:ascii="Arial" w:hAnsi="Arial" w:cs="Arial"/>
          <w:lang w:val="el-GR"/>
        </w:rPr>
        <w:t>Για όλα τα στοιχεία του Πίνακα η λογιστική βάση παρουσίασης είναι</w:t>
      </w:r>
      <w:r w:rsidR="00BD1F7E">
        <w:rPr>
          <w:rFonts w:ascii="Arial" w:hAnsi="Arial" w:cs="Arial"/>
          <w:lang w:val="el-GR"/>
        </w:rPr>
        <w:t xml:space="preserve"> αυτή που αναφέρεται και για τον Πίνακα </w:t>
      </w:r>
      <w:r w:rsidR="00BD1F7E" w:rsidRPr="00041560">
        <w:rPr>
          <w:rFonts w:ascii="Arial" w:hAnsi="Arial" w:cs="Arial"/>
          <w:b/>
          <w:lang w:val="el-GR"/>
        </w:rPr>
        <w:t>Β1</w:t>
      </w:r>
      <w:r w:rsidR="00BD1F7E">
        <w:rPr>
          <w:rFonts w:ascii="Arial" w:hAnsi="Arial" w:cs="Arial"/>
          <w:lang w:val="el-GR"/>
        </w:rPr>
        <w:t>. Αναλυτικά:</w:t>
      </w:r>
    </w:p>
    <w:p w:rsidR="00BD1F7E" w:rsidRDefault="00BD1F7E" w:rsidP="00364F19">
      <w:pPr>
        <w:spacing w:after="0"/>
        <w:jc w:val="both"/>
        <w:rPr>
          <w:rFonts w:ascii="Arial" w:hAnsi="Arial" w:cs="Arial"/>
          <w:lang w:val="el-GR"/>
        </w:rPr>
      </w:pPr>
    </w:p>
    <w:tbl>
      <w:tblPr>
        <w:tblStyle w:val="LightShading-Accent5"/>
        <w:tblW w:w="0" w:type="auto"/>
        <w:tblInd w:w="817" w:type="dxa"/>
        <w:tblLook w:val="04A0"/>
      </w:tblPr>
      <w:tblGrid>
        <w:gridCol w:w="567"/>
        <w:gridCol w:w="6130"/>
        <w:gridCol w:w="2058"/>
      </w:tblGrid>
      <w:tr w:rsidR="00B5546F" w:rsidRPr="00BD1F7E" w:rsidTr="00B5546F">
        <w:trPr>
          <w:cnfStyle w:val="100000000000"/>
        </w:trPr>
        <w:tc>
          <w:tcPr>
            <w:cnfStyle w:val="001000000000"/>
            <w:tcW w:w="567" w:type="dxa"/>
          </w:tcPr>
          <w:p w:rsidR="00B5546F" w:rsidRDefault="00B5546F" w:rsidP="00364F19">
            <w:pPr>
              <w:jc w:val="both"/>
              <w:rPr>
                <w:rFonts w:ascii="Arial" w:hAnsi="Arial" w:cs="Arial"/>
                <w:sz w:val="20"/>
                <w:lang w:val="el-GR"/>
              </w:rPr>
            </w:pPr>
          </w:p>
        </w:tc>
        <w:tc>
          <w:tcPr>
            <w:tcW w:w="6130"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Κατηγορία</w:t>
            </w:r>
          </w:p>
        </w:tc>
        <w:tc>
          <w:tcPr>
            <w:tcW w:w="2058"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Λογιστική Βάση</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8</w:t>
            </w:r>
          </w:p>
        </w:tc>
        <w:tc>
          <w:tcPr>
            <w:tcW w:w="6130" w:type="dxa"/>
          </w:tcPr>
          <w:p w:rsidR="00B5546F" w:rsidRPr="00B5546F" w:rsidRDefault="00B5546F" w:rsidP="00364F19">
            <w:pPr>
              <w:jc w:val="both"/>
              <w:cnfStyle w:val="000000100000"/>
              <w:rPr>
                <w:rFonts w:ascii="Arial" w:hAnsi="Arial" w:cs="Arial"/>
                <w:sz w:val="20"/>
                <w:lang w:val="el-GR"/>
              </w:rPr>
            </w:pPr>
            <w:r w:rsidRPr="00126FD8">
              <w:rPr>
                <w:rFonts w:ascii="Arial" w:hAnsi="Arial" w:cs="Arial"/>
                <w:i/>
                <w:sz w:val="20"/>
                <w:lang w:val="el-GR"/>
              </w:rPr>
              <w:t>Έσοδα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w:t>
            </w:r>
            <w:r w:rsidR="0023262F">
              <w:rPr>
                <w:rFonts w:ascii="Arial" w:hAnsi="Arial" w:cs="Arial"/>
                <w:sz w:val="20"/>
                <w:lang w:val="el-GR"/>
              </w:rPr>
              <w:t xml:space="preserve"> εκτός κατ. 4</w:t>
            </w:r>
            <w:r w:rsidRPr="00B5546F">
              <w:rPr>
                <w:rFonts w:ascii="Arial" w:hAnsi="Arial" w:cs="Arial"/>
                <w:sz w:val="20"/>
                <w:lang w:val="el-GR"/>
              </w:rPr>
              <w:t xml:space="preserve"> και </w:t>
            </w:r>
            <w:r w:rsidR="0023262F">
              <w:rPr>
                <w:rFonts w:ascii="Arial" w:hAnsi="Arial" w:cs="Arial"/>
                <w:sz w:val="20"/>
                <w:lang w:val="el-GR"/>
              </w:rPr>
              <w:t>6</w:t>
            </w:r>
          </w:p>
        </w:tc>
        <w:tc>
          <w:tcPr>
            <w:tcW w:w="2058" w:type="dxa"/>
          </w:tcPr>
          <w:p w:rsidR="00B5546F" w:rsidRPr="00BD1F7E" w:rsidRDefault="00B5546F" w:rsidP="00364F19">
            <w:pPr>
              <w:jc w:val="both"/>
              <w:cnfStyle w:val="000000100000"/>
              <w:rPr>
                <w:rFonts w:ascii="Arial" w:hAnsi="Arial" w:cs="Arial"/>
                <w:sz w:val="20"/>
                <w:lang w:val="el-GR"/>
              </w:rPr>
            </w:pPr>
            <w:r>
              <w:rPr>
                <w:rFonts w:ascii="Arial" w:hAnsi="Arial" w:cs="Arial"/>
                <w:sz w:val="20"/>
                <w:lang w:val="el-GR"/>
              </w:rPr>
              <w:t>Βάση Δεδουλευμένων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4</w:t>
            </w:r>
          </w:p>
        </w:tc>
        <w:tc>
          <w:tcPr>
            <w:tcW w:w="6130" w:type="dxa"/>
          </w:tcPr>
          <w:p w:rsidR="00B5546F" w:rsidRPr="00126FD8" w:rsidRDefault="00B5546F" w:rsidP="00364F19">
            <w:pPr>
              <w:jc w:val="both"/>
              <w:cnfStyle w:val="000000000000"/>
              <w:rPr>
                <w:rFonts w:ascii="Arial" w:hAnsi="Arial" w:cs="Arial"/>
                <w:i/>
                <w:sz w:val="20"/>
                <w:lang w:val="el-GR"/>
              </w:rPr>
            </w:pPr>
            <w:r w:rsidRPr="00126FD8">
              <w:rPr>
                <w:rFonts w:ascii="Arial" w:hAnsi="Arial" w:cs="Arial"/>
                <w:i/>
                <w:sz w:val="20"/>
                <w:lang w:val="el-GR"/>
              </w:rPr>
              <w:t>Έσοδα από τόκους και μερίσματα</w:t>
            </w:r>
          </w:p>
        </w:tc>
        <w:tc>
          <w:tcPr>
            <w:tcW w:w="2058" w:type="dxa"/>
          </w:tcPr>
          <w:p w:rsidR="00B5546F" w:rsidRPr="00B5546F" w:rsidRDefault="00B5546F"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rPr>
          <w:cnfStyle w:val="000000100000"/>
        </w:trPr>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6</w:t>
            </w:r>
          </w:p>
        </w:tc>
        <w:tc>
          <w:tcPr>
            <w:tcW w:w="6130" w:type="dxa"/>
          </w:tcPr>
          <w:p w:rsidR="00B5546F" w:rsidRPr="00126FD8" w:rsidRDefault="00B5546F" w:rsidP="00364F19">
            <w:pPr>
              <w:jc w:val="both"/>
              <w:cnfStyle w:val="000000100000"/>
              <w:rPr>
                <w:rFonts w:ascii="Arial" w:hAnsi="Arial" w:cs="Arial"/>
                <w:i/>
                <w:sz w:val="20"/>
                <w:lang w:val="el-GR"/>
              </w:rPr>
            </w:pPr>
            <w:r w:rsidRPr="00126FD8">
              <w:rPr>
                <w:rFonts w:ascii="Arial" w:hAnsi="Arial" w:cs="Arial"/>
                <w:i/>
                <w:sz w:val="20"/>
                <w:lang w:val="el-GR"/>
              </w:rPr>
              <w:t>Κρατικές Χορηγίες (Τρέχουσες)</w:t>
            </w:r>
          </w:p>
        </w:tc>
        <w:tc>
          <w:tcPr>
            <w:tcW w:w="2058" w:type="dxa"/>
          </w:tcPr>
          <w:p w:rsidR="00B5546F" w:rsidRPr="00B5546F" w:rsidRDefault="00B5546F" w:rsidP="00B5546F">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10</w:t>
            </w:r>
            <w:r w:rsidR="00B5546F">
              <w:rPr>
                <w:rFonts w:ascii="Arial" w:hAnsi="Arial" w:cs="Arial"/>
                <w:b w:val="0"/>
                <w:sz w:val="20"/>
                <w:lang w:val="el-GR"/>
              </w:rPr>
              <w:t>-1</w:t>
            </w:r>
            <w:r>
              <w:rPr>
                <w:rFonts w:ascii="Arial" w:hAnsi="Arial" w:cs="Arial"/>
                <w:b w:val="0"/>
                <w:sz w:val="20"/>
                <w:lang w:val="el-GR"/>
              </w:rPr>
              <w:t>6</w:t>
            </w:r>
          </w:p>
        </w:tc>
        <w:tc>
          <w:tcPr>
            <w:tcW w:w="6130" w:type="dxa"/>
          </w:tcPr>
          <w:p w:rsidR="00B5546F" w:rsidRPr="00B5546F" w:rsidRDefault="00B5546F" w:rsidP="00B5546F">
            <w:pPr>
              <w:jc w:val="both"/>
              <w:cnfStyle w:val="000000000000"/>
              <w:rPr>
                <w:rFonts w:ascii="Arial" w:hAnsi="Arial" w:cs="Arial"/>
                <w:sz w:val="20"/>
                <w:lang w:val="el-GR"/>
              </w:rPr>
            </w:pPr>
            <w:r w:rsidRPr="00126FD8">
              <w:rPr>
                <w:rFonts w:ascii="Arial" w:hAnsi="Arial" w:cs="Arial"/>
                <w:i/>
                <w:sz w:val="20"/>
                <w:lang w:val="el-GR"/>
              </w:rPr>
              <w:t>Δαπάνες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 xml:space="preserve">) </w:t>
            </w:r>
            <w:r w:rsidRPr="00B5546F">
              <w:rPr>
                <w:rFonts w:ascii="Arial" w:hAnsi="Arial" w:cs="Arial"/>
                <w:sz w:val="20"/>
                <w:lang w:val="el-GR"/>
              </w:rPr>
              <w:t xml:space="preserve">εκτός κατ. </w:t>
            </w:r>
            <w:r w:rsidR="0023262F">
              <w:rPr>
                <w:rFonts w:ascii="Arial" w:hAnsi="Arial" w:cs="Arial"/>
                <w:sz w:val="20"/>
                <w:lang w:val="el-GR"/>
              </w:rPr>
              <w:t>14</w:t>
            </w:r>
            <w:r w:rsidRPr="00B5546F">
              <w:rPr>
                <w:rFonts w:ascii="Arial" w:hAnsi="Arial" w:cs="Arial"/>
                <w:sz w:val="20"/>
                <w:lang w:val="el-GR"/>
              </w:rPr>
              <w:t xml:space="preserve"> και </w:t>
            </w:r>
            <w:r>
              <w:rPr>
                <w:rFonts w:ascii="Arial" w:hAnsi="Arial" w:cs="Arial"/>
                <w:sz w:val="20"/>
                <w:lang w:val="el-GR"/>
              </w:rPr>
              <w:t>1</w:t>
            </w:r>
            <w:r w:rsidR="0023262F">
              <w:rPr>
                <w:rFonts w:ascii="Arial" w:hAnsi="Arial" w:cs="Arial"/>
                <w:sz w:val="20"/>
                <w:lang w:val="el-GR"/>
              </w:rPr>
              <w:t>5</w:t>
            </w:r>
          </w:p>
        </w:tc>
        <w:tc>
          <w:tcPr>
            <w:tcW w:w="2058" w:type="dxa"/>
          </w:tcPr>
          <w:p w:rsidR="00B5546F" w:rsidRPr="00B5546F" w:rsidRDefault="00E50250" w:rsidP="00364F19">
            <w:pPr>
              <w:jc w:val="both"/>
              <w:cnfStyle w:val="000000000000"/>
              <w:rPr>
                <w:rFonts w:ascii="Arial" w:hAnsi="Arial" w:cs="Arial"/>
                <w:sz w:val="20"/>
                <w:lang w:val="el-GR"/>
              </w:rPr>
            </w:pPr>
            <w:r>
              <w:rPr>
                <w:rFonts w:ascii="Arial" w:hAnsi="Arial" w:cs="Arial"/>
                <w:sz w:val="20"/>
                <w:lang w:val="el-GR"/>
              </w:rPr>
              <w:t>Βάση Δεδουλευμένων</w:t>
            </w:r>
          </w:p>
        </w:tc>
      </w:tr>
      <w:tr w:rsidR="00B5546F" w:rsidRPr="00BD1F7E" w:rsidTr="00B5546F">
        <w:trPr>
          <w:cnfStyle w:val="000000100000"/>
        </w:trPr>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4</w:t>
            </w:r>
          </w:p>
        </w:tc>
        <w:tc>
          <w:tcPr>
            <w:tcW w:w="6130" w:type="dxa"/>
          </w:tcPr>
          <w:p w:rsidR="00B5546F" w:rsidRPr="00126FD8" w:rsidRDefault="00E44889" w:rsidP="00364F19">
            <w:pPr>
              <w:jc w:val="both"/>
              <w:cnfStyle w:val="000000100000"/>
              <w:rPr>
                <w:rFonts w:ascii="Arial" w:hAnsi="Arial" w:cs="Arial"/>
                <w:i/>
                <w:sz w:val="20"/>
                <w:lang w:val="el-GR"/>
              </w:rPr>
            </w:pPr>
            <w:r w:rsidRPr="00126FD8">
              <w:rPr>
                <w:rFonts w:ascii="Arial" w:hAnsi="Arial" w:cs="Arial"/>
                <w:i/>
                <w:sz w:val="20"/>
                <w:lang w:val="el-GR"/>
              </w:rPr>
              <w:t>Τόκοι και Τραπεζικές Χρεώσεις</w:t>
            </w:r>
          </w:p>
        </w:tc>
        <w:tc>
          <w:tcPr>
            <w:tcW w:w="2058"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5</w:t>
            </w:r>
          </w:p>
        </w:tc>
        <w:tc>
          <w:tcPr>
            <w:tcW w:w="6130" w:type="dxa"/>
          </w:tcPr>
          <w:p w:rsidR="00B5546F" w:rsidRPr="00126FD8" w:rsidRDefault="00E44889" w:rsidP="00364F19">
            <w:pPr>
              <w:jc w:val="both"/>
              <w:cnfStyle w:val="000000000000"/>
              <w:rPr>
                <w:rFonts w:ascii="Arial" w:hAnsi="Arial" w:cs="Arial"/>
                <w:i/>
                <w:sz w:val="20"/>
                <w:lang w:val="el-GR"/>
              </w:rPr>
            </w:pPr>
            <w:r w:rsidRPr="00126FD8">
              <w:rPr>
                <w:rFonts w:ascii="Arial" w:hAnsi="Arial" w:cs="Arial"/>
                <w:i/>
                <w:sz w:val="20"/>
                <w:lang w:val="el-GR"/>
              </w:rPr>
              <w:t>Αποσβέσεις</w:t>
            </w:r>
          </w:p>
        </w:tc>
        <w:tc>
          <w:tcPr>
            <w:tcW w:w="2058" w:type="dxa"/>
          </w:tcPr>
          <w:p w:rsidR="00B5546F" w:rsidRPr="00B5546F" w:rsidRDefault="00E44889" w:rsidP="00E44889">
            <w:pPr>
              <w:jc w:val="both"/>
              <w:cnfStyle w:val="000000000000"/>
              <w:rPr>
                <w:rFonts w:ascii="Arial" w:hAnsi="Arial" w:cs="Arial"/>
                <w:sz w:val="20"/>
                <w:lang w:val="el-GR"/>
              </w:rPr>
            </w:pPr>
            <w:r>
              <w:rPr>
                <w:rFonts w:ascii="Arial" w:hAnsi="Arial" w:cs="Arial"/>
                <w:sz w:val="20"/>
                <w:lang w:val="el-GR"/>
              </w:rPr>
              <w:t xml:space="preserve">Ισόποση κατανομή στους 12 μήνες* </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p>
        </w:tc>
        <w:tc>
          <w:tcPr>
            <w:tcW w:w="6130"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 xml:space="preserve">Από τις </w:t>
            </w:r>
            <w:r w:rsidRPr="00126FD8">
              <w:rPr>
                <w:rFonts w:ascii="Arial" w:hAnsi="Arial" w:cs="Arial"/>
                <w:i/>
                <w:sz w:val="20"/>
                <w:lang w:val="el-GR"/>
              </w:rPr>
              <w:t>Εισπράξεις που σχετίζονται με τα Έσοδα</w:t>
            </w:r>
            <w:r w:rsidR="00126FD8">
              <w:rPr>
                <w:rFonts w:ascii="Arial" w:hAnsi="Arial" w:cs="Arial"/>
                <w:sz w:val="20"/>
                <w:lang w:val="el-GR"/>
              </w:rPr>
              <w:t xml:space="preserve">  μέχρι</w:t>
            </w:r>
            <w:r>
              <w:rPr>
                <w:rFonts w:ascii="Arial" w:hAnsi="Arial" w:cs="Arial"/>
                <w:sz w:val="20"/>
                <w:lang w:val="el-GR"/>
              </w:rPr>
              <w:t xml:space="preserve"> </w:t>
            </w:r>
            <w:r w:rsidR="00126FD8">
              <w:rPr>
                <w:rFonts w:ascii="Arial" w:hAnsi="Arial" w:cs="Arial"/>
                <w:sz w:val="20"/>
                <w:lang w:val="el-GR"/>
              </w:rPr>
              <w:t xml:space="preserve">τις </w:t>
            </w:r>
            <w:r w:rsidRPr="00126FD8">
              <w:rPr>
                <w:rFonts w:ascii="Arial" w:hAnsi="Arial" w:cs="Arial"/>
                <w:i/>
                <w:sz w:val="20"/>
                <w:lang w:val="el-GR"/>
              </w:rPr>
              <w:t>Πληρωμές για</w:t>
            </w:r>
            <w:r w:rsidR="00126FD8" w:rsidRPr="00126FD8">
              <w:rPr>
                <w:rFonts w:ascii="Arial" w:hAnsi="Arial" w:cs="Arial"/>
                <w:i/>
                <w:sz w:val="20"/>
                <w:lang w:val="el-GR"/>
              </w:rPr>
              <w:t xml:space="preserve"> Αναπτυξιακά Έργα</w:t>
            </w:r>
            <w:r>
              <w:rPr>
                <w:rFonts w:ascii="Arial" w:hAnsi="Arial" w:cs="Arial"/>
                <w:sz w:val="20"/>
                <w:lang w:val="el-GR"/>
              </w:rPr>
              <w:t xml:space="preserve"> </w:t>
            </w:r>
          </w:p>
        </w:tc>
        <w:tc>
          <w:tcPr>
            <w:tcW w:w="2058" w:type="dxa"/>
          </w:tcPr>
          <w:p w:rsidR="00B5546F" w:rsidRPr="00B5546F"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Όλες οι κινήσεις των Τραπεζικών λογαριασμών που χρησιμοποιούνται για άλλους σκοπούς</w:t>
            </w:r>
          </w:p>
        </w:tc>
        <w:tc>
          <w:tcPr>
            <w:tcW w:w="2058"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bl>
    <w:p w:rsidR="00BD1F7E" w:rsidRDefault="00BD1F7E" w:rsidP="00364F19">
      <w:pPr>
        <w:spacing w:after="0"/>
        <w:jc w:val="both"/>
        <w:rPr>
          <w:rFonts w:ascii="Arial" w:hAnsi="Arial" w:cs="Arial"/>
          <w:lang w:val="el-GR"/>
        </w:rPr>
      </w:pPr>
    </w:p>
    <w:p w:rsidR="00DE13FE" w:rsidRPr="00E701DA" w:rsidRDefault="00E44889" w:rsidP="00364F19">
      <w:pPr>
        <w:spacing w:after="0"/>
        <w:jc w:val="both"/>
        <w:rPr>
          <w:rFonts w:ascii="Arial" w:hAnsi="Arial" w:cs="Arial"/>
          <w:sz w:val="20"/>
          <w:lang w:val="el-GR"/>
        </w:rPr>
      </w:pPr>
      <w:r w:rsidRPr="00E701DA">
        <w:rPr>
          <w:rFonts w:ascii="Arial" w:hAnsi="Arial" w:cs="Arial"/>
          <w:sz w:val="20"/>
          <w:lang w:val="el-GR"/>
        </w:rPr>
        <w:t>*Για τα ποσά που θα παρουσιάζονται κατά τη διάρκεια του έτους στη βάση εισπράξεων και πληρωμών, αν χρειάζ</w:t>
      </w:r>
      <w:r w:rsidR="00E701DA">
        <w:rPr>
          <w:rFonts w:ascii="Arial" w:hAnsi="Arial" w:cs="Arial"/>
          <w:sz w:val="20"/>
          <w:lang w:val="el-GR"/>
        </w:rPr>
        <w:t>ον</w:t>
      </w:r>
      <w:r w:rsidRPr="00E701DA">
        <w:rPr>
          <w:rFonts w:ascii="Arial" w:hAnsi="Arial" w:cs="Arial"/>
          <w:sz w:val="20"/>
          <w:lang w:val="el-GR"/>
        </w:rPr>
        <w:t xml:space="preserve">ται </w:t>
      </w:r>
      <w:r w:rsidR="00E701DA">
        <w:rPr>
          <w:rFonts w:ascii="Arial" w:hAnsi="Arial" w:cs="Arial"/>
          <w:sz w:val="20"/>
          <w:lang w:val="el-GR"/>
        </w:rPr>
        <w:t xml:space="preserve">αναπροσαρμογές για να συμφωνήσουν με τα λογιστικά βιβλία του Οργανισμού, αυτές </w:t>
      </w:r>
      <w:r w:rsidRPr="00E701DA">
        <w:rPr>
          <w:rFonts w:ascii="Arial" w:hAnsi="Arial" w:cs="Arial"/>
          <w:sz w:val="20"/>
          <w:lang w:val="el-GR"/>
        </w:rPr>
        <w:t xml:space="preserve">θα γίνουν το Δεκέμβριο </w:t>
      </w:r>
      <w:r w:rsidR="00D320D4">
        <w:rPr>
          <w:rFonts w:ascii="Arial" w:hAnsi="Arial" w:cs="Arial"/>
          <w:sz w:val="20"/>
          <w:lang w:val="el-GR"/>
        </w:rPr>
        <w:t>202</w:t>
      </w:r>
      <w:r w:rsidR="00D320D4" w:rsidRPr="00D320D4">
        <w:rPr>
          <w:rFonts w:ascii="Arial" w:hAnsi="Arial" w:cs="Arial"/>
          <w:sz w:val="20"/>
          <w:lang w:val="el-GR"/>
        </w:rPr>
        <w:t>1</w:t>
      </w:r>
      <w:r w:rsidR="00E701DA">
        <w:rPr>
          <w:rFonts w:ascii="Arial" w:hAnsi="Arial" w:cs="Arial"/>
          <w:sz w:val="20"/>
          <w:lang w:val="el-GR"/>
        </w:rPr>
        <w:t xml:space="preserve">. Όσον αφορά τις Αποσβέσεις, για διευκόλυνση σας, μπορεί να κατανεμηθεί το προϋπολογισθέν ποσό στους 12 μήνες και να γίνουν αναπροσαρμογές το Δεκέμβριο </w:t>
      </w:r>
      <w:r w:rsidR="00500360">
        <w:rPr>
          <w:rFonts w:ascii="Arial" w:hAnsi="Arial" w:cs="Arial"/>
          <w:sz w:val="20"/>
          <w:lang w:val="el-GR"/>
        </w:rPr>
        <w:t>202</w:t>
      </w:r>
      <w:r w:rsidR="00FB00B3" w:rsidRPr="00FB00B3">
        <w:rPr>
          <w:rFonts w:ascii="Arial" w:hAnsi="Arial" w:cs="Arial"/>
          <w:sz w:val="20"/>
          <w:lang w:val="el-GR"/>
        </w:rPr>
        <w:t>1</w:t>
      </w:r>
      <w:r w:rsidR="00E701DA">
        <w:rPr>
          <w:rFonts w:ascii="Arial" w:hAnsi="Arial" w:cs="Arial"/>
          <w:sz w:val="20"/>
          <w:lang w:val="el-GR"/>
        </w:rPr>
        <w:t xml:space="preserve"> για τη διαφορά που θα υπάρχει από τις πραγματικές αποσβέσεις, εκτός και αν το λογιστικό σας σύστημα είναι σε θέση να τις υπολογίζει στο τέλος κάθε μήνα.</w:t>
      </w:r>
    </w:p>
    <w:p w:rsidR="00E701DA" w:rsidRDefault="00E701DA"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Σε περίπτωση που κατά την πρώτη ημερομη</w:t>
      </w:r>
      <w:r w:rsidR="00500360">
        <w:rPr>
          <w:rFonts w:ascii="Arial" w:hAnsi="Arial" w:cs="Arial"/>
          <w:lang w:val="el-GR"/>
        </w:rPr>
        <w:t>νία υποβολής των πινάκων στ</w:t>
      </w:r>
      <w:r w:rsidR="00FB00B3">
        <w:rPr>
          <w:rFonts w:ascii="Arial" w:hAnsi="Arial" w:cs="Arial"/>
          <w:lang w:val="el-GR"/>
        </w:rPr>
        <w:t>ις 1</w:t>
      </w:r>
      <w:r w:rsidR="0089445B">
        <w:rPr>
          <w:rFonts w:ascii="Arial" w:hAnsi="Arial" w:cs="Arial"/>
          <w:lang w:val="el-GR"/>
        </w:rPr>
        <w:t>0</w:t>
      </w:r>
      <w:r>
        <w:rPr>
          <w:rFonts w:ascii="Arial" w:hAnsi="Arial" w:cs="Arial"/>
          <w:lang w:val="el-GR"/>
        </w:rPr>
        <w:t>/2/</w:t>
      </w:r>
      <w:r w:rsidR="00C06071">
        <w:rPr>
          <w:rFonts w:ascii="Arial" w:hAnsi="Arial" w:cs="Arial"/>
          <w:lang w:val="el-GR"/>
        </w:rPr>
        <w:t>20</w:t>
      </w:r>
      <w:r w:rsidR="00FB00B3">
        <w:rPr>
          <w:rFonts w:ascii="Arial" w:hAnsi="Arial" w:cs="Arial"/>
          <w:lang w:val="el-GR"/>
        </w:rPr>
        <w:t>2</w:t>
      </w:r>
      <w:r w:rsidR="00FB00B3" w:rsidRPr="00FB00B3">
        <w:rPr>
          <w:rFonts w:ascii="Arial" w:hAnsi="Arial" w:cs="Arial"/>
          <w:lang w:val="el-GR"/>
        </w:rPr>
        <w:t>1</w:t>
      </w:r>
      <w:r>
        <w:rPr>
          <w:rFonts w:ascii="Arial" w:hAnsi="Arial" w:cs="Arial"/>
          <w:lang w:val="el-GR"/>
        </w:rPr>
        <w:t>, δεν έχει ακόμη εγκ</w:t>
      </w:r>
      <w:r w:rsidR="0023262F">
        <w:rPr>
          <w:rFonts w:ascii="Arial" w:hAnsi="Arial" w:cs="Arial"/>
          <w:lang w:val="el-GR"/>
        </w:rPr>
        <w:t>ριθεί ο Προϋπολογισμός του Οργανισμού</w:t>
      </w:r>
      <w:r>
        <w:rPr>
          <w:rFonts w:ascii="Arial" w:hAnsi="Arial" w:cs="Arial"/>
          <w:lang w:val="el-GR"/>
        </w:rPr>
        <w:t xml:space="preserve"> από τους αρμόδιους φορείς, τότε στη στήλη </w:t>
      </w:r>
      <w:r>
        <w:rPr>
          <w:rFonts w:ascii="Arial" w:hAnsi="Arial" w:cs="Arial"/>
          <w:i/>
          <w:lang w:val="el-GR"/>
        </w:rPr>
        <w:t xml:space="preserve">Προϋπολογισμός </w:t>
      </w:r>
      <w:r w:rsidR="00C06071">
        <w:rPr>
          <w:rFonts w:ascii="Arial" w:hAnsi="Arial" w:cs="Arial"/>
          <w:i/>
          <w:lang w:val="el-GR"/>
        </w:rPr>
        <w:t>20</w:t>
      </w:r>
      <w:r w:rsidR="00500360">
        <w:rPr>
          <w:rFonts w:ascii="Arial" w:hAnsi="Arial" w:cs="Arial"/>
          <w:i/>
          <w:lang w:val="el-GR"/>
        </w:rPr>
        <w:t>2</w:t>
      </w:r>
      <w:r w:rsidR="00FB00B3" w:rsidRPr="00FB00B3">
        <w:rPr>
          <w:rFonts w:ascii="Arial" w:hAnsi="Arial" w:cs="Arial"/>
          <w:i/>
          <w:lang w:val="el-GR"/>
        </w:rPr>
        <w:t>1</w:t>
      </w:r>
      <w:r>
        <w:rPr>
          <w:rFonts w:ascii="Arial" w:hAnsi="Arial" w:cs="Arial"/>
          <w:lang w:val="el-GR"/>
        </w:rPr>
        <w:t xml:space="preserve"> να καταχωρηθούν προσωρινά τα ποσά όπ</w:t>
      </w:r>
      <w:r w:rsidR="0023262F">
        <w:rPr>
          <w:rFonts w:ascii="Arial" w:hAnsi="Arial" w:cs="Arial"/>
          <w:lang w:val="el-GR"/>
        </w:rPr>
        <w:t xml:space="preserve">ως αυτά υποβλήθηκαν </w:t>
      </w:r>
      <w:r w:rsidR="0023262F">
        <w:rPr>
          <w:rFonts w:ascii="Arial" w:hAnsi="Arial" w:cs="Arial"/>
          <w:lang w:val="el-GR"/>
        </w:rPr>
        <w:lastRenderedPageBreak/>
        <w:t>από τον Οργανισμό</w:t>
      </w:r>
      <w:r>
        <w:rPr>
          <w:rFonts w:ascii="Arial" w:hAnsi="Arial" w:cs="Arial"/>
          <w:lang w:val="el-GR"/>
        </w:rPr>
        <w:t>. Όταν εγκριθεί ο Προϋπολογισμός, θα πρέπει να γίνουν οι απαραίτητες διορθώσεις και σε αυτούς τους Πίνακες ούτως ώστε να παρουσιάζονται τα εγκεκριμένα ποσά.</w:t>
      </w:r>
    </w:p>
    <w:p w:rsid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λειτουργικούς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Αντικατοπτρίζει το συνολικό λογιστικό υπόλοιπο των τραπεζικών λογαριασμών που χρησιμοποιούνται για τις καθημερινές εργασίες του Οργανισμού. </w:t>
      </w:r>
      <w:r>
        <w:rPr>
          <w:rFonts w:ascii="Arial" w:hAnsi="Arial" w:cs="Arial"/>
          <w:lang w:val="el-GR"/>
        </w:rPr>
        <w:t>Το υπόλοιπο της 1/1/</w:t>
      </w:r>
      <w:r w:rsidR="00500360">
        <w:rPr>
          <w:rFonts w:ascii="Arial" w:hAnsi="Arial" w:cs="Arial"/>
          <w:lang w:val="el-GR"/>
        </w:rPr>
        <w:t>202</w:t>
      </w:r>
      <w:r w:rsidR="00FB00B3" w:rsidRPr="00FB00B3">
        <w:rPr>
          <w:rFonts w:ascii="Arial" w:hAnsi="Arial" w:cs="Arial"/>
          <w:lang w:val="el-GR"/>
        </w:rPr>
        <w:t>1</w:t>
      </w:r>
      <w:r>
        <w:rPr>
          <w:rFonts w:ascii="Arial" w:hAnsi="Arial" w:cs="Arial"/>
          <w:lang w:val="el-GR"/>
        </w:rPr>
        <w:t xml:space="preserve"> θα πρέπει να καταχωρηθεί στη γραμμή </w:t>
      </w:r>
      <w:r>
        <w:rPr>
          <w:rFonts w:ascii="Arial" w:hAnsi="Arial" w:cs="Arial"/>
          <w:i/>
          <w:lang w:val="el-GR"/>
        </w:rPr>
        <w:t>Αρχικό Υπόλοιπο Περιόδου</w:t>
      </w:r>
      <w:r>
        <w:rPr>
          <w:rFonts w:ascii="Arial" w:hAnsi="Arial" w:cs="Arial"/>
          <w:lang w:val="el-GR"/>
        </w:rPr>
        <w:t>.</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Το υπόλοιπο στο τέλος του μήνα, υπολογιζόμενο λαμβάνοντας υπόψη </w:t>
      </w:r>
      <w:r>
        <w:rPr>
          <w:rFonts w:ascii="Arial" w:hAnsi="Arial" w:cs="Arial"/>
          <w:lang w:val="el-GR"/>
        </w:rPr>
        <w:t xml:space="preserve">την </w:t>
      </w:r>
      <w:r w:rsidRPr="00FE7447">
        <w:rPr>
          <w:rFonts w:ascii="Arial" w:hAnsi="Arial" w:cs="Arial"/>
          <w:i/>
          <w:lang w:val="el-GR"/>
        </w:rPr>
        <w:t>Καθαρή μεταβολή στα ταμειακά διαθέσιμα</w:t>
      </w:r>
      <w:r w:rsidRPr="00FE7447">
        <w:rPr>
          <w:rFonts w:ascii="Arial" w:hAnsi="Arial" w:cs="Arial"/>
          <w:lang w:val="el-GR"/>
        </w:rPr>
        <w:t>, πρέπει να συμφωνεί με τα λογιστικά βιβλία του Οργανισμού.</w:t>
      </w:r>
    </w:p>
    <w:p w:rsidR="00FE7447" w:rsidRP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άλλους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όλους τους τραπεζικούς λογαριασμούς που έχουν δημιουργηθεί για συγκεκριμένους σκοπούς εκτός των καθημερινών εργα</w:t>
      </w:r>
      <w:bookmarkStart w:id="0" w:name="_GoBack"/>
      <w:bookmarkEnd w:id="0"/>
      <w:r w:rsidRPr="00FE7447">
        <w:rPr>
          <w:rFonts w:ascii="Arial" w:hAnsi="Arial" w:cs="Arial"/>
          <w:lang w:val="el-GR"/>
        </w:rPr>
        <w:t>σιών.</w:t>
      </w:r>
    </w:p>
    <w:p w:rsidR="00FE7447" w:rsidRPr="00FE7447" w:rsidRDefault="00FE7447" w:rsidP="00FE7447">
      <w:pPr>
        <w:spacing w:after="0"/>
        <w:jc w:val="both"/>
        <w:rPr>
          <w:rFonts w:ascii="Arial" w:hAnsi="Arial" w:cs="Arial"/>
          <w:lang w:val="el-GR"/>
        </w:rPr>
      </w:pPr>
      <w:r w:rsidRPr="00FE7447">
        <w:rPr>
          <w:rFonts w:ascii="Arial" w:hAnsi="Arial" w:cs="Arial"/>
          <w:lang w:val="el-GR"/>
        </w:rPr>
        <w:t>Παραδείγματα:</w:t>
      </w:r>
    </w:p>
    <w:p w:rsidR="00FE7447" w:rsidRPr="00FE7447" w:rsidRDefault="00CB4468" w:rsidP="00FE7447">
      <w:pPr>
        <w:numPr>
          <w:ilvl w:val="0"/>
          <w:numId w:val="1"/>
        </w:numPr>
        <w:spacing w:after="0"/>
        <w:jc w:val="both"/>
        <w:rPr>
          <w:rFonts w:ascii="Arial" w:hAnsi="Arial" w:cs="Arial"/>
          <w:lang w:val="el-GR"/>
        </w:rPr>
      </w:pPr>
      <w:r>
        <w:rPr>
          <w:rFonts w:ascii="Arial" w:hAnsi="Arial" w:cs="Arial"/>
          <w:lang w:val="el-GR"/>
        </w:rPr>
        <w:t>Λογαριασμοί Ευρωπαϊκών Προγραμμάτων</w:t>
      </w:r>
    </w:p>
    <w:p w:rsidR="00FE7447" w:rsidRP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rsid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 xml:space="preserve">Ταμεία αποπληρωμής δανείων </w:t>
      </w:r>
    </w:p>
    <w:p w:rsidR="00CB4468" w:rsidRDefault="00CB4468" w:rsidP="00CB4468">
      <w:pPr>
        <w:spacing w:after="0"/>
        <w:jc w:val="both"/>
        <w:rPr>
          <w:rFonts w:ascii="Arial" w:hAnsi="Arial" w:cs="Arial"/>
          <w:lang w:val="el-GR"/>
        </w:rPr>
      </w:pPr>
      <w:r>
        <w:rPr>
          <w:rFonts w:ascii="Arial" w:hAnsi="Arial" w:cs="Arial"/>
          <w:lang w:val="el-GR"/>
        </w:rPr>
        <w:t>Δεν πρέπει να περιλαμβάνονται λογαριασμοί που σχετίζονται με τα Ταμεία / Σχέδια Συντάξεων/Προνοίας.</w:t>
      </w:r>
    </w:p>
    <w:p w:rsidR="00CB4468" w:rsidRPr="00FE7447" w:rsidRDefault="00CB4468" w:rsidP="00CB4468">
      <w:pPr>
        <w:spacing w:after="0"/>
        <w:jc w:val="both"/>
        <w:rPr>
          <w:rFonts w:ascii="Arial" w:hAnsi="Arial" w:cs="Arial"/>
          <w:lang w:val="el-GR"/>
        </w:rPr>
      </w:pPr>
    </w:p>
    <w:p w:rsidR="00FE7447" w:rsidRPr="00FE7447" w:rsidRDefault="00FE7447" w:rsidP="00FE7447">
      <w:pPr>
        <w:spacing w:after="0"/>
        <w:jc w:val="both"/>
        <w:rPr>
          <w:rFonts w:ascii="Arial" w:hAnsi="Arial" w:cs="Arial"/>
          <w:lang w:val="el-GR"/>
        </w:rPr>
      </w:pPr>
      <w:r w:rsidRPr="00CB4468">
        <w:rPr>
          <w:rFonts w:ascii="Arial" w:hAnsi="Arial" w:cs="Arial"/>
          <w:lang w:val="el-GR"/>
        </w:rPr>
        <w:t xml:space="preserve">Όταν κατατίθενται εισπράξεις εσόδων απ’ ευθείας στους λογαριασμούς αυτούς ή μεταφέρονται ποσά από τον κύριο τραπεζικό λογαριασμό θα πρέπει να αναγνωρίζονται οι εισπράξεις στην αντίστοιχη κατηγορία </w:t>
      </w:r>
      <w:r w:rsidR="00CB4468" w:rsidRPr="00CB4468">
        <w:rPr>
          <w:rFonts w:ascii="Arial" w:hAnsi="Arial" w:cs="Arial"/>
          <w:lang w:val="el-GR"/>
        </w:rPr>
        <w:t>εσόδων</w:t>
      </w:r>
      <w:r w:rsidRPr="00CB4468">
        <w:rPr>
          <w:rFonts w:ascii="Arial" w:hAnsi="Arial" w:cs="Arial"/>
          <w:lang w:val="el-GR"/>
        </w:rPr>
        <w:t xml:space="preserve"> (π.χ. </w:t>
      </w:r>
      <w:r w:rsidR="00CB4468" w:rsidRPr="00CB4468">
        <w:rPr>
          <w:rFonts w:ascii="Arial" w:hAnsi="Arial" w:cs="Arial"/>
          <w:lang w:val="el-GR"/>
        </w:rPr>
        <w:t>Κρατικές Χορηγίες</w:t>
      </w:r>
      <w:r w:rsidRPr="00CB4468">
        <w:rPr>
          <w:rFonts w:ascii="Arial" w:hAnsi="Arial" w:cs="Arial"/>
          <w:lang w:val="el-GR"/>
        </w:rPr>
        <w:t xml:space="preserve">) και να αναγνωρίζεται η μεταφορά στις πληρωμές, στην κατηγορία </w:t>
      </w:r>
      <w:r w:rsidR="00CB4468" w:rsidRPr="00CB4468">
        <w:rPr>
          <w:rFonts w:ascii="Arial" w:hAnsi="Arial" w:cs="Arial"/>
          <w:i/>
          <w:lang w:val="el-GR"/>
        </w:rPr>
        <w:t>Μεταφορές</w:t>
      </w:r>
      <w:r w:rsidRPr="00CB4468">
        <w:rPr>
          <w:rFonts w:ascii="Arial" w:hAnsi="Arial" w:cs="Arial"/>
          <w:i/>
          <w:lang w:val="el-GR"/>
        </w:rPr>
        <w:t xml:space="preserve"> προς άλλους τραπεζικούς λογαριασμούς</w:t>
      </w:r>
      <w:r w:rsidRPr="00CB4468">
        <w:rPr>
          <w:rFonts w:ascii="Arial" w:hAnsi="Arial" w:cs="Arial"/>
          <w:lang w:val="el-GR"/>
        </w:rPr>
        <w:t xml:space="preserve">. Σε περίπτωση που πληρώνονται δαπάνες από τους λογαριασμούς αυτούς, θα πρέπει η δαπάνη να αναγνωρίζεται στην αντίστοιχη κατηγορία πληρωμών (π.χ. </w:t>
      </w:r>
      <w:r w:rsidRPr="00CB4468">
        <w:rPr>
          <w:rFonts w:ascii="Arial" w:hAnsi="Arial" w:cs="Arial"/>
          <w:i/>
          <w:lang w:val="el-GR"/>
        </w:rPr>
        <w:t>Κεφαλαιουχικές Δαπάνες</w:t>
      </w:r>
      <w:r w:rsidRPr="00CB4468">
        <w:rPr>
          <w:rFonts w:ascii="Arial" w:hAnsi="Arial" w:cs="Arial"/>
          <w:lang w:val="el-GR"/>
        </w:rPr>
        <w:t xml:space="preserve">) και να αναγνωρίζεται ταυτόχρονα και το αντίστοιχο ποσό στις εισπράξεις, στην κατηγορία </w:t>
      </w:r>
      <w:r w:rsidRPr="00CB4468">
        <w:rPr>
          <w:rFonts w:ascii="Arial" w:hAnsi="Arial" w:cs="Arial"/>
          <w:i/>
          <w:lang w:val="el-GR"/>
        </w:rPr>
        <w:t>Αναλήψεις από άλλους λογαριασμούς</w:t>
      </w:r>
      <w:r w:rsidRPr="00CB4468">
        <w:rPr>
          <w:rFonts w:ascii="Arial" w:hAnsi="Arial" w:cs="Arial"/>
          <w:lang w:val="el-GR"/>
        </w:rPr>
        <w:t>.</w:t>
      </w:r>
      <w:r w:rsidRPr="00FE7447">
        <w:rPr>
          <w:rFonts w:ascii="Arial" w:hAnsi="Arial" w:cs="Arial"/>
          <w:lang w:val="el-GR"/>
        </w:rPr>
        <w:t xml:space="preserve"> </w:t>
      </w:r>
    </w:p>
    <w:p w:rsidR="00FE7447" w:rsidRDefault="00FE7447"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Αν υπάρχουν δάνεια που μέρος των δ</w:t>
      </w:r>
      <w:r w:rsidR="0023262F">
        <w:rPr>
          <w:rFonts w:ascii="Arial" w:hAnsi="Arial" w:cs="Arial"/>
          <w:lang w:val="el-GR"/>
        </w:rPr>
        <w:t>όσεων αποπληρώνεται από τον Οργανισμό</w:t>
      </w:r>
      <w:r>
        <w:rPr>
          <w:rFonts w:ascii="Arial" w:hAnsi="Arial" w:cs="Arial"/>
          <w:lang w:val="el-GR"/>
        </w:rPr>
        <w:t xml:space="preserve"> και μέρος αποπληρώνεται από το </w:t>
      </w:r>
      <w:r w:rsidR="00647E9A">
        <w:rPr>
          <w:rFonts w:ascii="Arial" w:hAnsi="Arial" w:cs="Arial"/>
          <w:lang w:val="el-GR"/>
        </w:rPr>
        <w:t>κ</w:t>
      </w:r>
      <w:r>
        <w:rPr>
          <w:rFonts w:ascii="Arial" w:hAnsi="Arial" w:cs="Arial"/>
          <w:lang w:val="el-GR"/>
        </w:rPr>
        <w:t>ράτος, τότε το μέρο</w:t>
      </w:r>
      <w:r w:rsidR="0023262F">
        <w:rPr>
          <w:rFonts w:ascii="Arial" w:hAnsi="Arial" w:cs="Arial"/>
          <w:lang w:val="el-GR"/>
        </w:rPr>
        <w:t>ς που αποπληρώνεται από τον Οργανισμό</w:t>
      </w:r>
      <w:r>
        <w:rPr>
          <w:rFonts w:ascii="Arial" w:hAnsi="Arial" w:cs="Arial"/>
          <w:lang w:val="el-GR"/>
        </w:rPr>
        <w:t xml:space="preserve"> θα πρέπει να παρουσιάζεται στην κατάσταση </w:t>
      </w:r>
      <w:r>
        <w:rPr>
          <w:rFonts w:ascii="Arial" w:hAnsi="Arial" w:cs="Arial"/>
          <w:i/>
          <w:lang w:val="el-GR"/>
        </w:rPr>
        <w:t xml:space="preserve">Δάνεια που αποπληρώνονται από τον </w:t>
      </w:r>
      <w:r w:rsidR="0023262F">
        <w:rPr>
          <w:rFonts w:ascii="Arial" w:hAnsi="Arial" w:cs="Arial"/>
          <w:i/>
          <w:lang w:val="el-GR"/>
        </w:rPr>
        <w:t>Οργανισμό</w:t>
      </w:r>
      <w:r>
        <w:rPr>
          <w:rFonts w:ascii="Arial" w:hAnsi="Arial" w:cs="Arial"/>
          <w:lang w:val="el-GR"/>
        </w:rPr>
        <w:t xml:space="preserve"> ενώ το μέρος του δανείου 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Για τα δάνεια</w:t>
      </w:r>
      <w:r w:rsidR="004E0B51">
        <w:rPr>
          <w:rFonts w:ascii="Arial" w:hAnsi="Arial" w:cs="Arial"/>
          <w:lang w:val="el-GR"/>
        </w:rPr>
        <w:t xml:space="preserve"> που αποπληρώνονται από τον Οργανισμό</w:t>
      </w:r>
      <w:r>
        <w:rPr>
          <w:rFonts w:ascii="Arial" w:hAnsi="Arial" w:cs="Arial"/>
          <w:lang w:val="el-GR"/>
        </w:rPr>
        <w:t xml:space="preserve">, θα συμπληρώνονται επίσης μηνιαία τα </w:t>
      </w:r>
      <w:r w:rsidR="0088673C">
        <w:rPr>
          <w:rFonts w:ascii="Arial" w:hAnsi="Arial" w:cs="Arial"/>
          <w:lang w:val="el-GR"/>
        </w:rPr>
        <w:t>υπόλοιπα δανείων. Επιπρόσθετα, για κά</w:t>
      </w:r>
      <w:r w:rsidR="004E0B51">
        <w:rPr>
          <w:rFonts w:ascii="Arial" w:hAnsi="Arial" w:cs="Arial"/>
          <w:lang w:val="el-GR"/>
        </w:rPr>
        <w:t>θε ημερομηνία αναφοράς, οι Οργανισμοί, θα πρέπει να</w:t>
      </w:r>
      <w:r w:rsidR="0088673C">
        <w:rPr>
          <w:rFonts w:ascii="Arial" w:hAnsi="Arial" w:cs="Arial"/>
          <w:lang w:val="el-GR"/>
        </w:rPr>
        <w:t xml:space="preserve">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222654" w:rsidRDefault="0022265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w:t>
      </w:r>
      <w:r>
        <w:rPr>
          <w:rFonts w:ascii="Arial" w:hAnsi="Arial" w:cs="Arial"/>
          <w:lang w:val="el-GR"/>
        </w:rPr>
        <w:lastRenderedPageBreak/>
        <w:t xml:space="preserve">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Πίνακα </w:t>
      </w:r>
      <w:r w:rsidRPr="00A94AAA">
        <w:rPr>
          <w:rFonts w:ascii="Arial" w:hAnsi="Arial" w:cs="Arial"/>
          <w:b/>
          <w:lang w:val="el-GR"/>
        </w:rPr>
        <w:t>Β4</w:t>
      </w:r>
      <w:r>
        <w:rPr>
          <w:rFonts w:ascii="Arial" w:hAnsi="Arial" w:cs="Arial"/>
          <w:lang w:val="el-GR"/>
        </w:rPr>
        <w:t>. Επιπρόσθετα με την</w:t>
      </w:r>
      <w:r w:rsidR="004E0B51">
        <w:rPr>
          <w:rFonts w:ascii="Arial" w:hAnsi="Arial" w:cs="Arial"/>
          <w:lang w:val="el-GR"/>
        </w:rPr>
        <w:t xml:space="preserve"> ανάλυση, ο Οργανισμός</w:t>
      </w:r>
      <w:r>
        <w:rPr>
          <w:rFonts w:ascii="Arial" w:hAnsi="Arial" w:cs="Arial"/>
          <w:lang w:val="el-GR"/>
        </w:rPr>
        <w:t xml:space="preserve">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 xml:space="preserve">σεις του </w:t>
      </w:r>
      <w:r w:rsidR="004E0B51">
        <w:rPr>
          <w:rStyle w:val="hps"/>
          <w:rFonts w:ascii="Arial" w:hAnsi="Arial" w:cs="Arial"/>
          <w:color w:val="222222"/>
          <w:lang w:val="el-GR"/>
        </w:rPr>
        <w:t>Οργανισμού</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4E0B51">
        <w:rPr>
          <w:rStyle w:val="hps"/>
          <w:rFonts w:ascii="Arial" w:hAnsi="Arial" w:cs="Arial"/>
          <w:color w:val="222222"/>
          <w:lang w:val="el-GR"/>
        </w:rPr>
        <w:t>Ο Οργανισμός</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88673C" w:rsidRDefault="0088673C"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t>Υποβολή</w:t>
      </w:r>
    </w:p>
    <w:p w:rsidR="0088673C" w:rsidRPr="008968C6" w:rsidRDefault="0088673C"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lang w:val="en-US"/>
        </w:rPr>
        <w:t>excel</w:t>
      </w:r>
      <w:r>
        <w:rPr>
          <w:rStyle w:val="hps"/>
          <w:rFonts w:ascii="Arial" w:hAnsi="Arial" w:cs="Arial"/>
          <w:color w:val="222222"/>
          <w:lang w:val="el-GR"/>
        </w:rPr>
        <w:t xml:space="preserve"> στο Γενικό Λογιστήριο της Δημοκρατίας στην ηλεκτρονική διεύθυνση </w:t>
      </w:r>
      <w:hyperlink r:id="rId10" w:history="1">
        <w:r w:rsidRPr="00E57E8D">
          <w:rPr>
            <w:rStyle w:val="Hyperlink"/>
            <w:rFonts w:ascii="Arial" w:hAnsi="Arial" w:cs="Arial"/>
            <w:lang w:val="en-US"/>
          </w:rPr>
          <w:t>gk</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w:t>
      </w:r>
      <w:proofErr w:type="spellStart"/>
      <w:r w:rsidR="0088673C">
        <w:rPr>
          <w:rStyle w:val="hps"/>
          <w:rFonts w:ascii="Arial" w:hAnsi="Arial" w:cs="Arial"/>
          <w:color w:val="222222"/>
          <w:lang w:val="el-GR"/>
        </w:rPr>
        <w:t>Κακαρή</w:t>
      </w:r>
      <w:proofErr w:type="spellEnd"/>
      <w:r w:rsidR="0088673C">
        <w:rPr>
          <w:rStyle w:val="hps"/>
          <w:rFonts w:ascii="Arial" w:hAnsi="Arial" w:cs="Arial"/>
          <w:color w:val="222222"/>
          <w:lang w:val="el-GR"/>
        </w:rPr>
        <w:t xml:space="preserve"> (</w:t>
      </w:r>
      <w:proofErr w:type="spellStart"/>
      <w:r w:rsidR="0088673C">
        <w:rPr>
          <w:rStyle w:val="hps"/>
          <w:rFonts w:ascii="Arial" w:hAnsi="Arial" w:cs="Arial"/>
          <w:color w:val="222222"/>
          <w:lang w:val="el-GR"/>
        </w:rPr>
        <w:t>τηλ</w:t>
      </w:r>
      <w:proofErr w:type="spellEnd"/>
      <w:r w:rsidR="0088673C">
        <w:rPr>
          <w:rStyle w:val="hps"/>
          <w:rFonts w:ascii="Arial" w:hAnsi="Arial" w:cs="Arial"/>
          <w:color w:val="222222"/>
          <w:lang w:val="el-GR"/>
        </w:rPr>
        <w:t xml:space="preserve">. </w:t>
      </w:r>
      <w:r w:rsidR="006A1E05">
        <w:rPr>
          <w:rStyle w:val="hps"/>
          <w:rFonts w:ascii="Arial" w:hAnsi="Arial" w:cs="Arial"/>
          <w:color w:val="222222"/>
          <w:lang w:val="el-GR"/>
        </w:rPr>
        <w:t>22602376)</w:t>
      </w:r>
      <w:r w:rsidR="008D0F3B" w:rsidRPr="008D0F3B">
        <w:rPr>
          <w:rStyle w:val="hps"/>
          <w:rFonts w:ascii="Arial" w:hAnsi="Arial" w:cs="Arial"/>
          <w:color w:val="222222"/>
          <w:lang w:val="el-GR"/>
        </w:rPr>
        <w:t xml:space="preserve"> </w:t>
      </w:r>
      <w:hyperlink r:id="rId11"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2"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89445B" w:rsidRDefault="00FB00B3" w:rsidP="00364F19">
      <w:pPr>
        <w:spacing w:after="0"/>
        <w:jc w:val="both"/>
        <w:rPr>
          <w:rFonts w:ascii="Arial" w:hAnsi="Arial" w:cs="Arial"/>
          <w:b/>
          <w:lang w:val="el-GR"/>
        </w:rPr>
      </w:pPr>
      <w:r w:rsidRPr="0089445B">
        <w:rPr>
          <w:rFonts w:ascii="Arial" w:hAnsi="Arial" w:cs="Arial"/>
          <w:b/>
          <w:lang w:val="el-GR"/>
        </w:rPr>
        <w:t>4</w:t>
      </w:r>
      <w:r w:rsidR="006A1E05">
        <w:rPr>
          <w:rFonts w:ascii="Arial" w:hAnsi="Arial" w:cs="Arial"/>
          <w:b/>
          <w:lang w:val="el-GR"/>
        </w:rPr>
        <w:t xml:space="preserve"> </w:t>
      </w:r>
      <w:r w:rsidR="00EA492B">
        <w:rPr>
          <w:rFonts w:ascii="Arial" w:hAnsi="Arial" w:cs="Arial"/>
          <w:b/>
          <w:lang w:val="el-GR"/>
        </w:rPr>
        <w:t>Ιανουαρ</w:t>
      </w:r>
      <w:r w:rsidR="00C06071">
        <w:rPr>
          <w:rFonts w:ascii="Arial" w:hAnsi="Arial" w:cs="Arial"/>
          <w:b/>
          <w:lang w:val="el-GR"/>
        </w:rPr>
        <w:t>ίου</w:t>
      </w:r>
      <w:r w:rsidR="008D0F3B">
        <w:rPr>
          <w:rFonts w:ascii="Arial" w:hAnsi="Arial" w:cs="Arial"/>
          <w:b/>
          <w:lang w:val="el-GR"/>
        </w:rPr>
        <w:t xml:space="preserve"> </w:t>
      </w:r>
      <w:r>
        <w:rPr>
          <w:rFonts w:ascii="Arial" w:hAnsi="Arial" w:cs="Arial"/>
          <w:b/>
          <w:lang w:val="el-GR"/>
        </w:rPr>
        <w:t>202</w:t>
      </w:r>
      <w:r w:rsidRPr="0089445B">
        <w:rPr>
          <w:rFonts w:ascii="Arial" w:hAnsi="Arial" w:cs="Arial"/>
          <w:b/>
          <w:lang w:val="el-GR"/>
        </w:rPr>
        <w:t>1</w:t>
      </w:r>
    </w:p>
    <w:sectPr w:rsidR="006A1E05" w:rsidRPr="0089445B" w:rsidSect="00421BA6">
      <w:footerReference w:type="default" r:id="rId13"/>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58" w:rsidRDefault="00275658" w:rsidP="00D472AA">
      <w:pPr>
        <w:spacing w:after="0" w:line="240" w:lineRule="auto"/>
      </w:pPr>
      <w:r>
        <w:separator/>
      </w:r>
    </w:p>
  </w:endnote>
  <w:endnote w:type="continuationSeparator" w:id="0">
    <w:p w:rsidR="00275658" w:rsidRDefault="00275658"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275658" w:rsidRPr="00D472AA" w:rsidRDefault="009176DB">
        <w:pPr>
          <w:pStyle w:val="Footer"/>
          <w:jc w:val="center"/>
          <w:rPr>
            <w:rFonts w:ascii="Arial" w:hAnsi="Arial" w:cs="Arial"/>
            <w:sz w:val="18"/>
            <w:szCs w:val="18"/>
          </w:rPr>
        </w:pPr>
        <w:r w:rsidRPr="00D472AA">
          <w:rPr>
            <w:rFonts w:ascii="Arial" w:hAnsi="Arial" w:cs="Arial"/>
            <w:sz w:val="18"/>
            <w:szCs w:val="18"/>
          </w:rPr>
          <w:fldChar w:fldCharType="begin"/>
        </w:r>
        <w:r w:rsidR="00275658"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89445B">
          <w:rPr>
            <w:rFonts w:ascii="Arial" w:hAnsi="Arial" w:cs="Arial"/>
            <w:noProof/>
            <w:sz w:val="18"/>
            <w:szCs w:val="18"/>
          </w:rPr>
          <w:t>5</w:t>
        </w:r>
        <w:r w:rsidRPr="00D472AA">
          <w:rPr>
            <w:rFonts w:ascii="Arial" w:hAnsi="Arial" w:cs="Arial"/>
            <w:sz w:val="18"/>
            <w:szCs w:val="18"/>
          </w:rPr>
          <w:fldChar w:fldCharType="end"/>
        </w:r>
      </w:p>
    </w:sdtContent>
  </w:sdt>
  <w:p w:rsidR="00275658" w:rsidRDefault="00275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58" w:rsidRDefault="00275658" w:rsidP="00D472AA">
      <w:pPr>
        <w:spacing w:after="0" w:line="240" w:lineRule="auto"/>
      </w:pPr>
      <w:r>
        <w:separator/>
      </w:r>
    </w:p>
  </w:footnote>
  <w:footnote w:type="continuationSeparator" w:id="0">
    <w:p w:rsidR="00275658" w:rsidRDefault="00275658"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AF6"/>
    <w:multiLevelType w:val="hybridMultilevel"/>
    <w:tmpl w:val="E3802886"/>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E55E11"/>
    <w:multiLevelType w:val="hybridMultilevel"/>
    <w:tmpl w:val="DFDA4D84"/>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11730"/>
    <w:rsid w:val="000246E3"/>
    <w:rsid w:val="00041560"/>
    <w:rsid w:val="00042CFD"/>
    <w:rsid w:val="000466AC"/>
    <w:rsid w:val="00052431"/>
    <w:rsid w:val="000633C9"/>
    <w:rsid w:val="000828F5"/>
    <w:rsid w:val="000927C1"/>
    <w:rsid w:val="00093476"/>
    <w:rsid w:val="00093CA5"/>
    <w:rsid w:val="000A568D"/>
    <w:rsid w:val="000D3E38"/>
    <w:rsid w:val="000F2FE6"/>
    <w:rsid w:val="00126FD8"/>
    <w:rsid w:val="0013612E"/>
    <w:rsid w:val="0013764F"/>
    <w:rsid w:val="00183623"/>
    <w:rsid w:val="00194D26"/>
    <w:rsid w:val="001B4CD6"/>
    <w:rsid w:val="00204D00"/>
    <w:rsid w:val="00222654"/>
    <w:rsid w:val="0023262F"/>
    <w:rsid w:val="0023288C"/>
    <w:rsid w:val="00241B24"/>
    <w:rsid w:val="00275658"/>
    <w:rsid w:val="0029715F"/>
    <w:rsid w:val="002A593D"/>
    <w:rsid w:val="002B0611"/>
    <w:rsid w:val="002E10D0"/>
    <w:rsid w:val="002E22CD"/>
    <w:rsid w:val="00311BA5"/>
    <w:rsid w:val="003121AF"/>
    <w:rsid w:val="00312F31"/>
    <w:rsid w:val="0031326A"/>
    <w:rsid w:val="00331C73"/>
    <w:rsid w:val="00336450"/>
    <w:rsid w:val="00342E1E"/>
    <w:rsid w:val="003473CF"/>
    <w:rsid w:val="003474FF"/>
    <w:rsid w:val="00362BDD"/>
    <w:rsid w:val="00364C17"/>
    <w:rsid w:val="00364F19"/>
    <w:rsid w:val="003724DA"/>
    <w:rsid w:val="003852C3"/>
    <w:rsid w:val="0039311C"/>
    <w:rsid w:val="003B7999"/>
    <w:rsid w:val="003C4FCF"/>
    <w:rsid w:val="003C6BFD"/>
    <w:rsid w:val="003C7303"/>
    <w:rsid w:val="003E549E"/>
    <w:rsid w:val="003F6D0E"/>
    <w:rsid w:val="0041636E"/>
    <w:rsid w:val="00417113"/>
    <w:rsid w:val="00421BA6"/>
    <w:rsid w:val="00423D79"/>
    <w:rsid w:val="00430ACD"/>
    <w:rsid w:val="00441D4B"/>
    <w:rsid w:val="0049180D"/>
    <w:rsid w:val="0049323D"/>
    <w:rsid w:val="00494BE2"/>
    <w:rsid w:val="004C45C1"/>
    <w:rsid w:val="004D1B06"/>
    <w:rsid w:val="004E0B51"/>
    <w:rsid w:val="004F10EF"/>
    <w:rsid w:val="00500360"/>
    <w:rsid w:val="005015EE"/>
    <w:rsid w:val="005025F3"/>
    <w:rsid w:val="00522D06"/>
    <w:rsid w:val="00527894"/>
    <w:rsid w:val="00557140"/>
    <w:rsid w:val="00574420"/>
    <w:rsid w:val="005B0C4E"/>
    <w:rsid w:val="005C2AD3"/>
    <w:rsid w:val="005C767B"/>
    <w:rsid w:val="005D0270"/>
    <w:rsid w:val="005D1A02"/>
    <w:rsid w:val="005F0D32"/>
    <w:rsid w:val="005F1737"/>
    <w:rsid w:val="0060480B"/>
    <w:rsid w:val="0060748F"/>
    <w:rsid w:val="00615890"/>
    <w:rsid w:val="00647E9A"/>
    <w:rsid w:val="006671EE"/>
    <w:rsid w:val="00671E4D"/>
    <w:rsid w:val="006A1E05"/>
    <w:rsid w:val="006C57C9"/>
    <w:rsid w:val="006F1711"/>
    <w:rsid w:val="006F337E"/>
    <w:rsid w:val="00717E6E"/>
    <w:rsid w:val="00732F9D"/>
    <w:rsid w:val="007837E3"/>
    <w:rsid w:val="007A2A47"/>
    <w:rsid w:val="007C387E"/>
    <w:rsid w:val="007D7F3A"/>
    <w:rsid w:val="007E6077"/>
    <w:rsid w:val="00822A02"/>
    <w:rsid w:val="00824E46"/>
    <w:rsid w:val="0085052C"/>
    <w:rsid w:val="008516A6"/>
    <w:rsid w:val="00863C68"/>
    <w:rsid w:val="0087799C"/>
    <w:rsid w:val="0088673C"/>
    <w:rsid w:val="0089445B"/>
    <w:rsid w:val="008968C6"/>
    <w:rsid w:val="008A17F9"/>
    <w:rsid w:val="008B7885"/>
    <w:rsid w:val="008D0F3B"/>
    <w:rsid w:val="008F55CF"/>
    <w:rsid w:val="008F64AB"/>
    <w:rsid w:val="00901284"/>
    <w:rsid w:val="009176DB"/>
    <w:rsid w:val="00924518"/>
    <w:rsid w:val="00924D0D"/>
    <w:rsid w:val="00971085"/>
    <w:rsid w:val="00973B85"/>
    <w:rsid w:val="009802E2"/>
    <w:rsid w:val="00991FF4"/>
    <w:rsid w:val="009920DA"/>
    <w:rsid w:val="009A2748"/>
    <w:rsid w:val="009C3E49"/>
    <w:rsid w:val="009C3EE2"/>
    <w:rsid w:val="009D5C73"/>
    <w:rsid w:val="00A265A5"/>
    <w:rsid w:val="00A32997"/>
    <w:rsid w:val="00A36167"/>
    <w:rsid w:val="00A47487"/>
    <w:rsid w:val="00A529DC"/>
    <w:rsid w:val="00A65A01"/>
    <w:rsid w:val="00A7724F"/>
    <w:rsid w:val="00A9426C"/>
    <w:rsid w:val="00A94AAA"/>
    <w:rsid w:val="00AB4A11"/>
    <w:rsid w:val="00B03539"/>
    <w:rsid w:val="00B12340"/>
    <w:rsid w:val="00B3171E"/>
    <w:rsid w:val="00B365CA"/>
    <w:rsid w:val="00B51BF9"/>
    <w:rsid w:val="00B54D97"/>
    <w:rsid w:val="00B5546F"/>
    <w:rsid w:val="00B55BB6"/>
    <w:rsid w:val="00B66B64"/>
    <w:rsid w:val="00B73A8D"/>
    <w:rsid w:val="00B7739A"/>
    <w:rsid w:val="00B8431F"/>
    <w:rsid w:val="00B921D1"/>
    <w:rsid w:val="00BA0259"/>
    <w:rsid w:val="00BA1449"/>
    <w:rsid w:val="00BB1AB3"/>
    <w:rsid w:val="00BB6FA6"/>
    <w:rsid w:val="00BD1C33"/>
    <w:rsid w:val="00BD1F7E"/>
    <w:rsid w:val="00C03042"/>
    <w:rsid w:val="00C06071"/>
    <w:rsid w:val="00C13008"/>
    <w:rsid w:val="00C467B3"/>
    <w:rsid w:val="00C6317E"/>
    <w:rsid w:val="00CB0EF9"/>
    <w:rsid w:val="00CB1FE4"/>
    <w:rsid w:val="00CB4468"/>
    <w:rsid w:val="00CB4CBE"/>
    <w:rsid w:val="00CC0509"/>
    <w:rsid w:val="00CD6AEC"/>
    <w:rsid w:val="00CE5427"/>
    <w:rsid w:val="00CE5FA8"/>
    <w:rsid w:val="00D01CA5"/>
    <w:rsid w:val="00D033AF"/>
    <w:rsid w:val="00D10AD4"/>
    <w:rsid w:val="00D320D4"/>
    <w:rsid w:val="00D42045"/>
    <w:rsid w:val="00D472AA"/>
    <w:rsid w:val="00DA5BBF"/>
    <w:rsid w:val="00DA729A"/>
    <w:rsid w:val="00DB7184"/>
    <w:rsid w:val="00DC68EC"/>
    <w:rsid w:val="00DE13FE"/>
    <w:rsid w:val="00DE6CC5"/>
    <w:rsid w:val="00E15208"/>
    <w:rsid w:val="00E20CF0"/>
    <w:rsid w:val="00E36CE6"/>
    <w:rsid w:val="00E44889"/>
    <w:rsid w:val="00E50250"/>
    <w:rsid w:val="00E701DA"/>
    <w:rsid w:val="00E7254A"/>
    <w:rsid w:val="00E83CF4"/>
    <w:rsid w:val="00E852F6"/>
    <w:rsid w:val="00E92F57"/>
    <w:rsid w:val="00EA42F8"/>
    <w:rsid w:val="00EA492B"/>
    <w:rsid w:val="00EB33A0"/>
    <w:rsid w:val="00EB3C38"/>
    <w:rsid w:val="00EE0685"/>
    <w:rsid w:val="00EE402A"/>
    <w:rsid w:val="00EF4463"/>
    <w:rsid w:val="00F2771C"/>
    <w:rsid w:val="00F504CE"/>
    <w:rsid w:val="00F8480B"/>
    <w:rsid w:val="00FA03BF"/>
    <w:rsid w:val="00FA2D7B"/>
    <w:rsid w:val="00FB00B3"/>
    <w:rsid w:val="00FC0D48"/>
    <w:rsid w:val="00FC4534"/>
    <w:rsid w:val="00FE7447"/>
    <w:rsid w:val="00FF01BA"/>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treasury.gov.cy"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treasury.gov.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138AB-6D73-44AE-8B1A-4E6DE572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2484</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5</cp:revision>
  <cp:lastPrinted>2021-01-04T09:44:00Z</cp:lastPrinted>
  <dcterms:created xsi:type="dcterms:W3CDTF">2020-10-22T07:17:00Z</dcterms:created>
  <dcterms:modified xsi:type="dcterms:W3CDTF">2021-01-04T09:44:00Z</dcterms:modified>
</cp:coreProperties>
</file>